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867" w:rsidRPr="00E50867" w:rsidRDefault="00E50867" w:rsidP="00E50867">
      <w:pPr>
        <w:rPr>
          <w:color w:val="000000"/>
        </w:rPr>
      </w:pPr>
      <w:r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ab/>
      </w:r>
      <w:r w:rsidR="001A5EDF">
        <w:rPr>
          <w:rFonts w:eastAsia="Times New Roman"/>
          <w:color w:val="000000"/>
          <w:sz w:val="21"/>
          <w:szCs w:val="21"/>
        </w:rPr>
        <w:tab/>
      </w:r>
      <w:r w:rsidR="001A5EDF">
        <w:rPr>
          <w:rFonts w:eastAsia="Times New Roman"/>
          <w:color w:val="000000"/>
          <w:sz w:val="21"/>
          <w:szCs w:val="21"/>
        </w:rPr>
        <w:tab/>
      </w:r>
      <w:bookmarkStart w:id="0" w:name="_GoBack"/>
      <w:r w:rsidR="001A5EDF">
        <w:rPr>
          <w:rFonts w:eastAsia="Times New Roman"/>
          <w:color w:val="000000"/>
          <w:sz w:val="21"/>
          <w:szCs w:val="21"/>
        </w:rPr>
        <w:tab/>
      </w:r>
      <w:r>
        <w:rPr>
          <w:rFonts w:eastAsia="Times New Roman"/>
          <w:color w:val="000000"/>
          <w:sz w:val="21"/>
          <w:szCs w:val="21"/>
        </w:rPr>
        <w:t>Novembre 2015</w:t>
      </w:r>
    </w:p>
    <w:bookmarkEnd w:id="0"/>
    <w:p w:rsidR="00FC0193" w:rsidRPr="00E50867" w:rsidRDefault="00E50867" w:rsidP="00E50867">
      <w:pPr>
        <w:pStyle w:val="ListParagraph"/>
        <w:numPr>
          <w:ilvl w:val="0"/>
          <w:numId w:val="3"/>
        </w:numPr>
        <w:rPr>
          <w:color w:val="000000"/>
        </w:rPr>
      </w:pPr>
      <w:r w:rsidRPr="00E50867">
        <w:rPr>
          <w:color w:val="1F497D"/>
        </w:rPr>
        <w:t xml:space="preserve">Aree </w:t>
      </w:r>
      <w:r w:rsidR="00FC0193" w:rsidRPr="00E50867">
        <w:rPr>
          <w:color w:val="1F497D"/>
        </w:rPr>
        <w:t xml:space="preserve">107,3,c) </w:t>
      </w:r>
      <w:r w:rsidRPr="00E50867">
        <w:rPr>
          <w:color w:val="1F497D"/>
        </w:rPr>
        <w:tab/>
      </w:r>
      <w:r w:rsidRPr="00E50867">
        <w:rPr>
          <w:color w:val="1F497D"/>
        </w:rPr>
        <w:tab/>
      </w:r>
      <w:r w:rsidR="00FC0193" w:rsidRPr="00E50867">
        <w:rPr>
          <w:color w:val="1F497D"/>
        </w:rPr>
        <w:t xml:space="preserve">= </w:t>
      </w:r>
      <w:r w:rsidR="00FC0193" w:rsidRPr="00E50867">
        <w:rPr>
          <w:b/>
          <w:bCs/>
          <w:color w:val="1F497D"/>
        </w:rPr>
        <w:t>18 comuni</w:t>
      </w:r>
    </w:p>
    <w:p w:rsidR="00E50867" w:rsidRDefault="00E50867" w:rsidP="00E50867">
      <w:pPr>
        <w:rPr>
          <w:color w:val="1F497D"/>
        </w:rPr>
      </w:pPr>
    </w:p>
    <w:p w:rsidR="00E50867" w:rsidRPr="00E50867" w:rsidRDefault="00E50867" w:rsidP="00E50867">
      <w:pPr>
        <w:pStyle w:val="ListParagraph"/>
        <w:numPr>
          <w:ilvl w:val="0"/>
          <w:numId w:val="3"/>
        </w:numPr>
        <w:rPr>
          <w:color w:val="1F497D"/>
        </w:rPr>
      </w:pPr>
      <w:r w:rsidRPr="00E50867">
        <w:rPr>
          <w:color w:val="1F497D"/>
        </w:rPr>
        <w:t xml:space="preserve">Aree crisi diffusa </w:t>
      </w:r>
      <w:r w:rsidRPr="00E50867">
        <w:rPr>
          <w:color w:val="1F497D"/>
        </w:rPr>
        <w:tab/>
      </w:r>
      <w:r w:rsidRPr="00E50867">
        <w:rPr>
          <w:b/>
          <w:color w:val="1F497D"/>
        </w:rPr>
        <w:t>= 53 comuni</w:t>
      </w:r>
      <w:r w:rsidRPr="00E50867">
        <w:rPr>
          <w:color w:val="1F497D"/>
        </w:rPr>
        <w:t xml:space="preserve"> (</w:t>
      </w:r>
      <w:r w:rsidR="00FC0193" w:rsidRPr="00E50867">
        <w:rPr>
          <w:color w:val="1F497D"/>
        </w:rPr>
        <w:t>tutti i 18 comuni 107,3,c + ulteriori 38</w:t>
      </w:r>
      <w:r w:rsidRPr="00E50867">
        <w:rPr>
          <w:color w:val="1F497D"/>
        </w:rPr>
        <w:t>)</w:t>
      </w:r>
    </w:p>
    <w:p w:rsidR="00E50867" w:rsidRPr="00E50867" w:rsidRDefault="00FC0193" w:rsidP="00E50867">
      <w:pPr>
        <w:pStyle w:val="ListParagraph"/>
        <w:ind w:left="2880"/>
        <w:rPr>
          <w:color w:val="1F497D"/>
        </w:rPr>
      </w:pPr>
      <w:r w:rsidRPr="00E50867">
        <w:rPr>
          <w:color w:val="1F497D"/>
        </w:rPr>
        <w:t>(</w:t>
      </w:r>
      <w:r w:rsidR="00E50867" w:rsidRPr="00E50867">
        <w:rPr>
          <w:color w:val="1F497D"/>
        </w:rPr>
        <w:t xml:space="preserve">se si aggiungono </w:t>
      </w:r>
      <w:r w:rsidRPr="00E50867">
        <w:rPr>
          <w:color w:val="1F497D"/>
        </w:rPr>
        <w:t xml:space="preserve">i 3 </w:t>
      </w:r>
      <w:r w:rsidR="00E50867" w:rsidRPr="00E50867">
        <w:rPr>
          <w:color w:val="1F497D"/>
        </w:rPr>
        <w:t xml:space="preserve">comuni </w:t>
      </w:r>
      <w:r w:rsidRPr="00E50867">
        <w:rPr>
          <w:color w:val="1F497D"/>
        </w:rPr>
        <w:t xml:space="preserve">di Trieste, ancorché parziali) = </w:t>
      </w:r>
      <w:r w:rsidRPr="00E50867">
        <w:rPr>
          <w:b/>
          <w:bCs/>
          <w:color w:val="1F497D"/>
        </w:rPr>
        <w:t>56 comuni</w:t>
      </w:r>
      <w:r w:rsidRPr="00E50867">
        <w:rPr>
          <w:color w:val="1F497D"/>
        </w:rPr>
        <w:t xml:space="preserve"> (53 interi e 3 parziali)</w:t>
      </w:r>
    </w:p>
    <w:p w:rsidR="00FC0193" w:rsidRPr="00E50867" w:rsidRDefault="00E50867" w:rsidP="00E50867">
      <w:pPr>
        <w:pStyle w:val="ListParagraph"/>
        <w:numPr>
          <w:ilvl w:val="0"/>
          <w:numId w:val="3"/>
        </w:numPr>
        <w:rPr>
          <w:b/>
          <w:bCs/>
          <w:color w:val="1F497D"/>
        </w:rPr>
      </w:pPr>
      <w:r w:rsidRPr="00E50867">
        <w:rPr>
          <w:color w:val="1F497D"/>
        </w:rPr>
        <w:t>A</w:t>
      </w:r>
      <w:r w:rsidR="00FC0193" w:rsidRPr="00E50867">
        <w:rPr>
          <w:color w:val="1F497D"/>
        </w:rPr>
        <w:t xml:space="preserve">ree interne </w:t>
      </w:r>
      <w:r w:rsidRPr="00E50867">
        <w:rPr>
          <w:color w:val="1F497D"/>
        </w:rPr>
        <w:tab/>
      </w:r>
      <w:r w:rsidRPr="00E50867">
        <w:rPr>
          <w:color w:val="1F497D"/>
        </w:rPr>
        <w:tab/>
      </w:r>
      <w:r w:rsidR="00FC0193" w:rsidRPr="00E50867">
        <w:rPr>
          <w:color w:val="1F497D"/>
        </w:rPr>
        <w:t xml:space="preserve">= </w:t>
      </w:r>
      <w:r w:rsidR="00FC0193" w:rsidRPr="00E50867">
        <w:rPr>
          <w:b/>
          <w:bCs/>
          <w:color w:val="1F497D"/>
        </w:rPr>
        <w:t>44 comuni</w:t>
      </w:r>
    </w:p>
    <w:p w:rsidR="00E50867" w:rsidRDefault="00E50867" w:rsidP="00E50867">
      <w:pPr>
        <w:rPr>
          <w:b/>
          <w:bCs/>
          <w:color w:val="1F497D"/>
        </w:rPr>
      </w:pPr>
    </w:p>
    <w:p w:rsidR="00FC0193" w:rsidRPr="00E50867" w:rsidRDefault="00E50867" w:rsidP="00E50867">
      <w:pPr>
        <w:pStyle w:val="ListParagraph"/>
        <w:numPr>
          <w:ilvl w:val="0"/>
          <w:numId w:val="3"/>
        </w:numPr>
        <w:rPr>
          <w:color w:val="000000"/>
        </w:rPr>
      </w:pPr>
      <w:r w:rsidRPr="00E50867">
        <w:rPr>
          <w:color w:val="1F497D"/>
        </w:rPr>
        <w:t xml:space="preserve">Comuni </w:t>
      </w:r>
      <w:r w:rsidR="00FC0193" w:rsidRPr="00E50867">
        <w:rPr>
          <w:color w:val="1F497D"/>
        </w:rPr>
        <w:t>montani</w:t>
      </w:r>
      <w:r w:rsidRPr="00E50867">
        <w:rPr>
          <w:color w:val="1F497D"/>
        </w:rPr>
        <w:tab/>
        <w:t xml:space="preserve">= </w:t>
      </w:r>
      <w:r w:rsidRPr="00E50867">
        <w:rPr>
          <w:b/>
          <w:bCs/>
          <w:color w:val="1F497D"/>
        </w:rPr>
        <w:t>83 comuni (</w:t>
      </w:r>
      <w:r w:rsidR="00FC0193" w:rsidRPr="00E50867">
        <w:rPr>
          <w:color w:val="1F497D"/>
        </w:rPr>
        <w:t>tutti i 44 comuni aree interne + ulteriori 39</w:t>
      </w:r>
      <w:r w:rsidRPr="00E50867">
        <w:rPr>
          <w:color w:val="1F497D"/>
        </w:rPr>
        <w:t>)</w:t>
      </w:r>
      <w:r w:rsidR="00FC0193" w:rsidRPr="00E50867">
        <w:rPr>
          <w:color w:val="1F497D"/>
        </w:rPr>
        <w:t xml:space="preserve"> </w:t>
      </w:r>
    </w:p>
    <w:p w:rsidR="00FC0193" w:rsidRDefault="00FC0193" w:rsidP="00FC0193">
      <w:pPr>
        <w:rPr>
          <w:color w:val="000000"/>
        </w:rPr>
      </w:pPr>
      <w:r>
        <w:rPr>
          <w:color w:val="1F497D"/>
        </w:rPr>
        <w:t> </w:t>
      </w:r>
    </w:p>
    <w:p w:rsidR="00E50867" w:rsidRDefault="00E50867" w:rsidP="00FC0193">
      <w:pPr>
        <w:rPr>
          <w:color w:val="1F497D"/>
        </w:rPr>
      </w:pPr>
      <w:r>
        <w:rPr>
          <w:color w:val="1F497D"/>
        </w:rPr>
        <w:t>Tra le aree di crisi diffusa (B) e i comuni montani (D) solo due comuni sono</w:t>
      </w:r>
      <w:r w:rsidR="001A5EDF">
        <w:rPr>
          <w:color w:val="1F497D"/>
        </w:rPr>
        <w:t xml:space="preserve"> presenti in entrambe le liste: Budoia e Polcenigo  (PN)</w:t>
      </w:r>
    </w:p>
    <w:p w:rsidR="00FC0193" w:rsidRDefault="00FC0193" w:rsidP="00FC0193">
      <w:pPr>
        <w:rPr>
          <w:color w:val="000000"/>
        </w:rPr>
      </w:pPr>
      <w:r>
        <w:rPr>
          <w:color w:val="1F497D"/>
        </w:rPr>
        <w:t> </w:t>
      </w:r>
    </w:p>
    <w:p w:rsidR="001A5EDF" w:rsidRDefault="00FC0193" w:rsidP="001A5EDF">
      <w:pPr>
        <w:rPr>
          <w:color w:val="000000"/>
        </w:rPr>
      </w:pPr>
      <w:r>
        <w:rPr>
          <w:color w:val="1F497D"/>
        </w:rPr>
        <w:t xml:space="preserve">TOTALE </w:t>
      </w:r>
      <w:r w:rsidR="001A5EDF">
        <w:rPr>
          <w:color w:val="1F497D"/>
        </w:rPr>
        <w:t>comuni FVG = 216</w:t>
      </w:r>
    </w:p>
    <w:p w:rsidR="00FC0193" w:rsidRDefault="001A5EDF" w:rsidP="00FC0193">
      <w:pPr>
        <w:rPr>
          <w:color w:val="000000"/>
        </w:rPr>
      </w:pPr>
      <w:r>
        <w:rPr>
          <w:color w:val="1F497D"/>
        </w:rPr>
        <w:t xml:space="preserve">comuni presenti in uno o più elenchi (compresi i tre comuni parziali di Trieste)= </w:t>
      </w:r>
      <w:r w:rsidR="00FC0193">
        <w:rPr>
          <w:color w:val="1F497D"/>
        </w:rPr>
        <w:t xml:space="preserve">137 </w:t>
      </w:r>
    </w:p>
    <w:p w:rsidR="00FC0193" w:rsidRDefault="00FC0193" w:rsidP="001A5EDF">
      <w:pPr>
        <w:rPr>
          <w:color w:val="000000"/>
        </w:rPr>
      </w:pPr>
      <w:r>
        <w:rPr>
          <w:color w:val="1F497D"/>
        </w:rPr>
        <w:t xml:space="preserve">comuni </w:t>
      </w:r>
      <w:r w:rsidR="001A5EDF">
        <w:rPr>
          <w:color w:val="1F497D"/>
        </w:rPr>
        <w:t xml:space="preserve">non inseriti </w:t>
      </w:r>
      <w:r w:rsidR="00147224">
        <w:rPr>
          <w:color w:val="1F497D"/>
        </w:rPr>
        <w:t>negli elenchi</w:t>
      </w:r>
      <w:r w:rsidR="001A5EDF">
        <w:rPr>
          <w:color w:val="1F497D"/>
        </w:rPr>
        <w:t xml:space="preserve"> </w:t>
      </w:r>
      <w:r>
        <w:rPr>
          <w:color w:val="1F497D"/>
        </w:rPr>
        <w:t>= 79</w:t>
      </w:r>
    </w:p>
    <w:p w:rsidR="00FC0193" w:rsidRDefault="00FC0193" w:rsidP="00FC0193">
      <w:pPr>
        <w:rPr>
          <w:color w:val="000000"/>
        </w:rPr>
      </w:pPr>
      <w:r>
        <w:rPr>
          <w:color w:val="1F497D"/>
        </w:rPr>
        <w:t> </w:t>
      </w:r>
    </w:p>
    <w:tbl>
      <w:tblPr>
        <w:tblW w:w="1488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139"/>
        <w:gridCol w:w="1271"/>
        <w:gridCol w:w="1134"/>
        <w:gridCol w:w="1701"/>
        <w:gridCol w:w="1400"/>
        <w:gridCol w:w="1000"/>
        <w:gridCol w:w="1680"/>
        <w:gridCol w:w="2020"/>
        <w:gridCol w:w="1540"/>
      </w:tblGrid>
      <w:tr w:rsidR="00BA2A91" w:rsidRPr="00BA2A91" w:rsidTr="000F7C0D">
        <w:trPr>
          <w:trHeight w:val="187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>comuni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Aree</w:t>
            </w: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br/>
              <w:t>107, 3, C)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area crisi Trieste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 xml:space="preserve">aree ulteriori rispetto a 107,3,c) </w:t>
            </w: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br/>
              <w:t>(crisi diffusa)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  <w:t>Crisi diffusa + crisi Trieste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 xml:space="preserve">Aree </w:t>
            </w: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br/>
              <w:t>interne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aree ulteriori rispetto a aree interne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vAlign w:val="center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  <w:t xml:space="preserve">Comuni </w:t>
            </w:r>
            <w:r w:rsidRPr="00BA2A91"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  <w:br/>
              <w:t>montani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vAlign w:val="center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  <w:t>totale</w:t>
            </w:r>
            <w:r w:rsidRPr="00BA2A91"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  <w:br/>
              <w:t>crisi diffusa +</w:t>
            </w:r>
            <w:r w:rsidRPr="00BA2A91"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  <w:br/>
              <w:t>comuni montani</w:t>
            </w:r>
          </w:p>
        </w:tc>
      </w:tr>
      <w:tr w:rsidR="00BA2A91" w:rsidRPr="00BA2A91" w:rsidTr="000F7C0D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 xml:space="preserve">Provincia di </w:t>
            </w:r>
            <w: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>GO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  <w:t>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  <w:t>22</w:t>
            </w:r>
          </w:p>
        </w:tc>
      </w:tr>
      <w:tr w:rsidR="00BA2A91" w:rsidRPr="00BA2A91" w:rsidTr="000F7C0D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 xml:space="preserve">Provincia di </w:t>
            </w:r>
            <w: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>PN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  <w:t>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  <w:t>25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  <w:t>44</w:t>
            </w:r>
          </w:p>
        </w:tc>
      </w:tr>
      <w:tr w:rsidR="00BA2A91" w:rsidRPr="00BA2A91" w:rsidTr="000F7C0D">
        <w:trPr>
          <w:trHeight w:val="37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 xml:space="preserve">Provincia di </w:t>
            </w:r>
            <w: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>UD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  <w:t>135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  <w:t>56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  <w:t>70</w:t>
            </w:r>
          </w:p>
        </w:tc>
      </w:tr>
      <w:tr w:rsidR="00BA2A91" w:rsidRPr="00BA2A91" w:rsidTr="000F7C0D">
        <w:trPr>
          <w:trHeight w:val="39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 xml:space="preserve">Provincia di </w:t>
            </w:r>
            <w:r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>TS</w:t>
            </w:r>
            <w:r w:rsidRPr="00BA2A91"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3</w:t>
            </w:r>
            <w:r w:rsidR="000F7C0D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 xml:space="preserve"> (</w:t>
            </w:r>
            <w:proofErr w:type="spellStart"/>
            <w:r w:rsidR="000F7C0D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parz</w:t>
            </w:r>
            <w:proofErr w:type="spellEnd"/>
            <w:r w:rsidR="000F7C0D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  <w:t>3 (parziali)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  <w:t>0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  <w:t>3</w:t>
            </w:r>
          </w:p>
        </w:tc>
      </w:tr>
      <w:tr w:rsidR="00BA2A91" w:rsidRPr="00BA2A91" w:rsidTr="000F7C0D">
        <w:trPr>
          <w:trHeight w:val="39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sz w:val="28"/>
                <w:szCs w:val="28"/>
                <w:lang w:eastAsia="it-IT"/>
              </w:rPr>
              <w:t> 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sz w:val="28"/>
                <w:szCs w:val="28"/>
                <w:lang w:eastAsia="it-IT"/>
              </w:rPr>
              <w:t>216</w:t>
            </w:r>
          </w:p>
        </w:tc>
        <w:tc>
          <w:tcPr>
            <w:tcW w:w="12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18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FF0000"/>
                <w:sz w:val="28"/>
                <w:szCs w:val="28"/>
                <w:lang w:eastAsia="it-IT"/>
              </w:rPr>
              <w:t>35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50"/>
                <w:sz w:val="28"/>
                <w:szCs w:val="28"/>
                <w:lang w:eastAsia="it-IT"/>
              </w:rPr>
              <w:t>56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44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7030A0"/>
                <w:sz w:val="28"/>
                <w:szCs w:val="28"/>
                <w:lang w:eastAsia="it-IT"/>
              </w:rPr>
              <w:t>39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B0F0"/>
                <w:sz w:val="28"/>
                <w:szCs w:val="28"/>
                <w:lang w:eastAsia="it-IT"/>
              </w:rPr>
              <w:t>83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:rsidR="00BA2A91" w:rsidRPr="00BA2A91" w:rsidRDefault="00BA2A91" w:rsidP="00BA2A91">
            <w:pPr>
              <w:jc w:val="center"/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</w:pPr>
            <w:r w:rsidRPr="00BA2A91">
              <w:rPr>
                <w:rFonts w:ascii="DecimaWE Rg" w:eastAsia="Times New Roman" w:hAnsi="DecimaWE Rg"/>
                <w:b/>
                <w:bCs/>
                <w:color w:val="000000"/>
                <w:lang w:eastAsia="it-IT"/>
              </w:rPr>
              <w:t>139</w:t>
            </w:r>
          </w:p>
        </w:tc>
      </w:tr>
    </w:tbl>
    <w:p w:rsidR="00E73D96" w:rsidRDefault="00E73D96"/>
    <w:sectPr w:rsidR="00E73D96" w:rsidSect="00FC019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D6AD3"/>
    <w:multiLevelType w:val="hybridMultilevel"/>
    <w:tmpl w:val="F300111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24E84"/>
    <w:multiLevelType w:val="hybridMultilevel"/>
    <w:tmpl w:val="A2D69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F60424">
      <w:numFmt w:val="bullet"/>
      <w:lvlText w:val="-"/>
      <w:lvlJc w:val="left"/>
      <w:pPr>
        <w:ind w:left="1560" w:hanging="480"/>
      </w:pPr>
      <w:rPr>
        <w:rFonts w:ascii="Calibri" w:eastAsia="Calibri" w:hAnsi="Calibri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93"/>
    <w:rsid w:val="0008126E"/>
    <w:rsid w:val="000F7C0D"/>
    <w:rsid w:val="00147224"/>
    <w:rsid w:val="001A5EDF"/>
    <w:rsid w:val="002732B7"/>
    <w:rsid w:val="00414565"/>
    <w:rsid w:val="0089151F"/>
    <w:rsid w:val="00BA2A91"/>
    <w:rsid w:val="00E50867"/>
    <w:rsid w:val="00E73D96"/>
    <w:rsid w:val="00FC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831246-BDAE-4A80-B8C3-CD30AB7E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19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19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4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0CC841D81F444DB6D2ED954C5601E5" ma:contentTypeVersion="2" ma:contentTypeDescription="Create a new document." ma:contentTypeScope="" ma:versionID="ad5c175219a59c7abd2c4c16e6f5bd89">
  <xsd:schema xmlns:xsd="http://www.w3.org/2001/XMLSchema" xmlns:xs="http://www.w3.org/2001/XMLSchema" xmlns:p="http://schemas.microsoft.com/office/2006/metadata/properties" xmlns:ns2="ff7894b8-f189-4da7-b5e0-b640edbceec6" targetNamespace="http://schemas.microsoft.com/office/2006/metadata/properties" ma:root="true" ma:fieldsID="7cc49cd907eff0fe3b6130ec59d9fcd4" ns2:_="">
    <xsd:import namespace="ff7894b8-f189-4da7-b5e0-b640edbcee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894b8-f189-4da7-b5e0-b640edbceec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3A00C3-3763-4486-B43E-5F9C6A060178}"/>
</file>

<file path=customXml/itemProps2.xml><?xml version="1.0" encoding="utf-8"?>
<ds:datastoreItem xmlns:ds="http://schemas.openxmlformats.org/officeDocument/2006/customXml" ds:itemID="{56D8EE3D-50BE-465A-ADD6-763BE834A4E0}"/>
</file>

<file path=customXml/itemProps3.xml><?xml version="1.0" encoding="utf-8"?>
<ds:datastoreItem xmlns:ds="http://schemas.openxmlformats.org/officeDocument/2006/customXml" ds:itemID="{1E27CBE7-E2F2-46D1-8BBA-AE3E4EAB6685}"/>
</file>

<file path=customXml/itemProps4.xml><?xml version="1.0" encoding="utf-8"?>
<ds:datastoreItem xmlns:ds="http://schemas.openxmlformats.org/officeDocument/2006/customXml" ds:itemID="{6B51D111-D0C0-4555-BF6A-FADFF494FC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Eleonora Cozzi</cp:lastModifiedBy>
  <cp:revision>2</cp:revision>
  <cp:lastPrinted>2015-11-23T10:46:00Z</cp:lastPrinted>
  <dcterms:created xsi:type="dcterms:W3CDTF">2015-11-30T08:03:00Z</dcterms:created>
  <dcterms:modified xsi:type="dcterms:W3CDTF">2015-11-30T08:03:00Z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0x010100340CC841D81F444DB6D2ED954C5601E5</vt:lpwstr>
  </property>
</Properties>
</file>