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D7A" w:rsidRDefault="00701D7A" w:rsidP="00701D7A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 w:rsidRPr="002A4884"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:rsidR="00325E32" w:rsidRPr="002A4884" w:rsidRDefault="00325E32" w:rsidP="00701D7A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</w:p>
    <w:p w:rsidR="00325E32" w:rsidRPr="006628E5" w:rsidRDefault="00325E32" w:rsidP="00325E3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 w:rsidRPr="00F16BFF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Priorità n. 5 - Favorire la commercializzazione e la trasformazione</w:t>
      </w:r>
    </w:p>
    <w:p w:rsidR="00701D7A" w:rsidRPr="002A4884" w:rsidRDefault="00701D7A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701D7A" w:rsidRPr="002A4884" w:rsidRDefault="00701D7A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 w:rsidRPr="002A4884"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ALLEGATO </w:t>
      </w:r>
      <w:r w:rsidR="007411EA" w:rsidRPr="002A4884">
        <w:rPr>
          <w:rFonts w:ascii="DecimaWE Rg" w:hAnsi="DecimaWE Rg" w:cs="Arial"/>
          <w:b/>
          <w:color w:val="1F497D" w:themeColor="text2"/>
          <w:sz w:val="48"/>
          <w:szCs w:val="48"/>
        </w:rPr>
        <w:t>04</w:t>
      </w:r>
    </w:p>
    <w:p w:rsidR="00701D7A" w:rsidRPr="002A4884" w:rsidRDefault="00701D7A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45026C" w:rsidRPr="002A4884" w:rsidRDefault="001700E1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 w:rsidRPr="002A4884">
        <w:rPr>
          <w:rFonts w:ascii="DecimaWE Rg" w:hAnsi="DecimaWE Rg"/>
          <w:b/>
          <w:color w:val="1F497D" w:themeColor="text2"/>
          <w:sz w:val="36"/>
          <w:szCs w:val="36"/>
        </w:rPr>
        <w:t xml:space="preserve">ISTRUZIONI </w:t>
      </w:r>
      <w:r w:rsidR="0045026C" w:rsidRPr="002A4884">
        <w:rPr>
          <w:rFonts w:ascii="DecimaWE Rg" w:hAnsi="DecimaWE Rg"/>
          <w:b/>
          <w:color w:val="1F497D" w:themeColor="text2"/>
          <w:sz w:val="36"/>
          <w:szCs w:val="36"/>
        </w:rPr>
        <w:t xml:space="preserve">PER LA </w:t>
      </w:r>
      <w:r w:rsidR="007411EA" w:rsidRPr="002A4884">
        <w:rPr>
          <w:rFonts w:ascii="DecimaWE Rg" w:hAnsi="DecimaWE Rg"/>
          <w:b/>
          <w:color w:val="1F497D" w:themeColor="text2"/>
          <w:sz w:val="36"/>
          <w:szCs w:val="36"/>
        </w:rPr>
        <w:t xml:space="preserve">COMPILAZIONE </w:t>
      </w:r>
    </w:p>
    <w:p w:rsidR="00701D7A" w:rsidRPr="002A4884" w:rsidRDefault="0045026C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 w:rsidRPr="002A4884">
        <w:rPr>
          <w:rFonts w:ascii="DecimaWE Rg" w:hAnsi="DecimaWE Rg"/>
          <w:b/>
          <w:color w:val="1F497D" w:themeColor="text2"/>
          <w:sz w:val="36"/>
          <w:szCs w:val="36"/>
        </w:rPr>
        <w:t>DELL’</w:t>
      </w:r>
      <w:r w:rsidR="007411EA" w:rsidRPr="002A4884">
        <w:rPr>
          <w:rFonts w:ascii="DecimaWE Rg" w:hAnsi="DecimaWE Rg"/>
          <w:b/>
          <w:color w:val="1F497D" w:themeColor="text2"/>
          <w:sz w:val="36"/>
          <w:szCs w:val="36"/>
        </w:rPr>
        <w:t>ALLEGATO 03 (SPESE E CRITERI)</w:t>
      </w:r>
    </w:p>
    <w:p w:rsidR="00701D7A" w:rsidRPr="002A4884" w:rsidRDefault="00701D7A" w:rsidP="00701D7A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</w:p>
    <w:p w:rsidR="00701D7A" w:rsidRPr="00325E32" w:rsidRDefault="00325E32" w:rsidP="00701D7A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  <w:r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 xml:space="preserve">Misura </w:t>
      </w:r>
      <w:r>
        <w:rPr>
          <w:rFonts w:ascii="DecimaWE Rg" w:hAnsi="DecimaWE Rg"/>
          <w:b/>
          <w:color w:val="1F497D" w:themeColor="text2"/>
          <w:sz w:val="48"/>
          <w:szCs w:val="48"/>
        </w:rPr>
        <w:t>5</w:t>
      </w:r>
      <w:r w:rsidR="00701D7A" w:rsidRPr="002A4884"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>.</w:t>
      </w:r>
      <w:r>
        <w:rPr>
          <w:rFonts w:ascii="DecimaWE Rg" w:hAnsi="DecimaWE Rg"/>
          <w:b/>
          <w:color w:val="1F497D" w:themeColor="text2"/>
          <w:sz w:val="48"/>
          <w:szCs w:val="48"/>
        </w:rPr>
        <w:t>69</w:t>
      </w:r>
    </w:p>
    <w:p w:rsidR="00325E32" w:rsidRDefault="00325E32" w:rsidP="00325E32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4"/>
          <w:szCs w:val="44"/>
        </w:rPr>
      </w:pPr>
      <w:r w:rsidRPr="00F16BFF">
        <w:rPr>
          <w:rFonts w:ascii="Century Gothic" w:hAnsi="Century Gothic"/>
          <w:b/>
          <w:color w:val="1F497D" w:themeColor="text2"/>
          <w:sz w:val="44"/>
          <w:szCs w:val="44"/>
        </w:rPr>
        <w:t>Trasformazione dei prodotti della pesca e dell’acquacoltura</w:t>
      </w:r>
    </w:p>
    <w:p w:rsidR="00325E32" w:rsidRPr="00283D2E" w:rsidRDefault="00325E32" w:rsidP="00325E32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4"/>
          <w:szCs w:val="44"/>
          <w:lang w:val="x-none"/>
        </w:rPr>
      </w:pPr>
    </w:p>
    <w:p w:rsidR="00325E32" w:rsidRPr="008C0320" w:rsidRDefault="00325E32" w:rsidP="00325E32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</w:pPr>
      <w:r w:rsidRPr="008C0320"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  <w:t>Ar</w:t>
      </w:r>
      <w:r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  <w:t>t. 69 del Reg. (UE) n. 508/2014</w:t>
      </w:r>
    </w:p>
    <w:p w:rsidR="00701D7A" w:rsidRPr="00325E32" w:rsidRDefault="00701D7A" w:rsidP="00701D7A">
      <w:pPr>
        <w:rPr>
          <w:rFonts w:ascii="DecimaWE Rg" w:hAnsi="DecimaWE Rg"/>
          <w:lang w:val="en-US"/>
        </w:rPr>
      </w:pPr>
    </w:p>
    <w:p w:rsidR="00701D7A" w:rsidRPr="00325E32" w:rsidRDefault="00701D7A" w:rsidP="00701D7A">
      <w:pPr>
        <w:rPr>
          <w:rFonts w:ascii="DecimaWE Rg" w:hAnsi="DecimaWE Rg"/>
          <w:lang w:val="en-US"/>
        </w:rPr>
      </w:pPr>
    </w:p>
    <w:p w:rsidR="00701D7A" w:rsidRPr="002A4884" w:rsidRDefault="00325E32" w:rsidP="00701D7A">
      <w:pPr>
        <w:jc w:val="center"/>
        <w:rPr>
          <w:rFonts w:ascii="DecimaWE Rg" w:hAnsi="DecimaWE Rg"/>
          <w:b/>
          <w:color w:val="1F497D" w:themeColor="text2"/>
          <w:sz w:val="48"/>
          <w:szCs w:val="48"/>
          <w:lang w:val="x-none"/>
        </w:rPr>
      </w:pPr>
      <w:r>
        <w:rPr>
          <w:rFonts w:ascii="DecimaWE Rg" w:hAnsi="DecimaWE Rg"/>
          <w:b/>
          <w:color w:val="1F497D" w:themeColor="text2"/>
          <w:sz w:val="48"/>
          <w:szCs w:val="48"/>
        </w:rPr>
        <w:t>Luglio</w:t>
      </w:r>
      <w:r w:rsidR="00701D7A" w:rsidRPr="002A4884"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 xml:space="preserve"> 2017</w:t>
      </w:r>
    </w:p>
    <w:p w:rsidR="007A262A" w:rsidRPr="002A4884" w:rsidRDefault="00846EE3" w:rsidP="00846EE3">
      <w:pPr>
        <w:tabs>
          <w:tab w:val="left" w:pos="5875"/>
        </w:tabs>
        <w:rPr>
          <w:rFonts w:ascii="DecimaWE Rg" w:hAnsi="DecimaWE Rg"/>
          <w:b/>
          <w:color w:val="1F497D" w:themeColor="text2"/>
          <w:sz w:val="36"/>
          <w:szCs w:val="36"/>
        </w:rPr>
      </w:pPr>
      <w:r w:rsidRPr="002A4884">
        <w:rPr>
          <w:rFonts w:ascii="DecimaWE Rg" w:hAnsi="DecimaWE Rg"/>
          <w:b/>
          <w:color w:val="1F497D" w:themeColor="text2"/>
          <w:sz w:val="36"/>
          <w:szCs w:val="36"/>
        </w:rPr>
        <w:tab/>
      </w:r>
    </w:p>
    <w:p w:rsidR="00701D7A" w:rsidRPr="002A4884" w:rsidRDefault="00701D7A" w:rsidP="00082896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</w:p>
    <w:p w:rsidR="001C329F" w:rsidRPr="002A4884" w:rsidRDefault="001E6E7B" w:rsidP="003E6E39">
      <w:pPr>
        <w:pStyle w:val="Titolo1"/>
        <w:numPr>
          <w:ilvl w:val="0"/>
          <w:numId w:val="0"/>
        </w:numPr>
        <w:shd w:val="clear" w:color="auto" w:fill="C6D9F1" w:themeFill="text2" w:themeFillTint="33"/>
        <w:tabs>
          <w:tab w:val="right" w:pos="8080"/>
          <w:tab w:val="right" w:pos="8789"/>
        </w:tabs>
        <w:spacing w:before="120" w:after="120"/>
        <w:jc w:val="both"/>
        <w:rPr>
          <w:rFonts w:ascii="DecimaWE Rg" w:eastAsia="Calibri" w:hAnsi="DecimaWE Rg" w:cs="DecimaWE Rg"/>
          <w:color w:val="auto"/>
          <w:sz w:val="22"/>
          <w:szCs w:val="22"/>
        </w:rPr>
      </w:pPr>
      <w:bookmarkStart w:id="0" w:name="_Toc477348490"/>
      <w:r w:rsidRPr="002A4884">
        <w:rPr>
          <w:rFonts w:ascii="DecimaWE Rg" w:eastAsia="Calibri" w:hAnsi="DecimaWE Rg" w:cs="DecimaWE Rg"/>
          <w:color w:val="auto"/>
          <w:sz w:val="22"/>
          <w:szCs w:val="22"/>
        </w:rPr>
        <w:t xml:space="preserve">Istruzioni per la compilazione dell’allegato </w:t>
      </w:r>
      <w:r w:rsidR="000138B0" w:rsidRPr="002A4884">
        <w:rPr>
          <w:rFonts w:ascii="DecimaWE Rg" w:eastAsia="Calibri" w:hAnsi="DecimaWE Rg" w:cs="DecimaWE Rg"/>
          <w:color w:val="auto"/>
          <w:sz w:val="22"/>
          <w:szCs w:val="22"/>
        </w:rPr>
        <w:t>03</w:t>
      </w:r>
      <w:r w:rsidR="00C138DE" w:rsidRPr="002A4884">
        <w:rPr>
          <w:rFonts w:ascii="DecimaWE Rg" w:eastAsia="Calibri" w:hAnsi="DecimaWE Rg" w:cs="DecimaWE Rg"/>
          <w:color w:val="auto"/>
          <w:sz w:val="22"/>
          <w:szCs w:val="22"/>
        </w:rPr>
        <w:t xml:space="preserve"> - </w:t>
      </w:r>
      <w:r w:rsidR="000138B0" w:rsidRPr="002A4884">
        <w:rPr>
          <w:rFonts w:ascii="DecimaWE Rg" w:eastAsia="Calibri" w:hAnsi="DecimaWE Rg" w:cs="DecimaWE Rg"/>
          <w:color w:val="auto"/>
          <w:sz w:val="22"/>
          <w:szCs w:val="22"/>
        </w:rPr>
        <w:t>Spese previste e criteri</w:t>
      </w:r>
      <w:bookmarkEnd w:id="0"/>
    </w:p>
    <w:p w:rsidR="001E6E7B" w:rsidRPr="002A4884" w:rsidRDefault="001E6E7B" w:rsidP="001E6E7B">
      <w:pPr>
        <w:pStyle w:val="Titolo2"/>
        <w:numPr>
          <w:ilvl w:val="0"/>
          <w:numId w:val="0"/>
        </w:numPr>
        <w:spacing w:before="120"/>
        <w:ind w:left="709"/>
        <w:jc w:val="both"/>
        <w:rPr>
          <w:rFonts w:ascii="DecimaWE Rg" w:hAnsi="DecimaWE Rg"/>
          <w:b w:val="0"/>
          <w:color w:val="auto"/>
          <w:lang w:val="it-IT"/>
        </w:rPr>
      </w:pPr>
    </w:p>
    <w:p w:rsidR="006D4D42" w:rsidRPr="002A4884" w:rsidRDefault="006D4D42" w:rsidP="006D4D42">
      <w:pPr>
        <w:jc w:val="both"/>
        <w:rPr>
          <w:rFonts w:ascii="DecimaWE Rg" w:hAnsi="DecimaWE Rg"/>
          <w:lang w:eastAsia="de-DE"/>
        </w:rPr>
      </w:pPr>
      <w:r w:rsidRPr="002A4884">
        <w:rPr>
          <w:rFonts w:ascii="DecimaWE Rg" w:hAnsi="DecimaWE Rg"/>
          <w:lang w:eastAsia="de-DE"/>
        </w:rPr>
        <w:t>Di seguito vengono illustrate le modalità di com</w:t>
      </w:r>
      <w:r w:rsidR="00A06949">
        <w:rPr>
          <w:rFonts w:ascii="DecimaWE Rg" w:hAnsi="DecimaWE Rg"/>
          <w:lang w:eastAsia="de-DE"/>
        </w:rPr>
        <w:t xml:space="preserve">pilazione del file </w:t>
      </w:r>
      <w:r w:rsidR="00A06949" w:rsidRPr="00DC2CD7">
        <w:rPr>
          <w:rFonts w:ascii="DecimaWE Rg" w:hAnsi="DecimaWE Rg"/>
          <w:lang w:eastAsia="de-DE"/>
        </w:rPr>
        <w:t>Allegato_03_5</w:t>
      </w:r>
      <w:r w:rsidRPr="00DC2CD7">
        <w:rPr>
          <w:rFonts w:ascii="DecimaWE Rg" w:hAnsi="DecimaWE Rg"/>
          <w:lang w:eastAsia="de-DE"/>
        </w:rPr>
        <w:t>.</w:t>
      </w:r>
      <w:r w:rsidR="00A06949" w:rsidRPr="00DC2CD7">
        <w:rPr>
          <w:rFonts w:ascii="DecimaWE Rg" w:hAnsi="DecimaWE Rg"/>
          <w:lang w:eastAsia="de-DE"/>
        </w:rPr>
        <w:t>69</w:t>
      </w:r>
      <w:r w:rsidRPr="00DC2CD7">
        <w:rPr>
          <w:rFonts w:ascii="DecimaWE Rg" w:hAnsi="DecimaWE Rg"/>
          <w:lang w:eastAsia="de-DE"/>
        </w:rPr>
        <w:t>_Spese previste e criteri.xls</w:t>
      </w:r>
      <w:r w:rsidRPr="002A4884">
        <w:rPr>
          <w:rFonts w:ascii="DecimaWE Rg" w:hAnsi="DecimaWE Rg"/>
          <w:lang w:eastAsia="de-DE"/>
        </w:rPr>
        <w:t xml:space="preserve"> (documento da presentare unitamente alla domanda di finanziamento), costituito da 3 fogli di lavoro: 1. </w:t>
      </w:r>
      <w:r w:rsidRPr="002A4884">
        <w:rPr>
          <w:rFonts w:ascii="DecimaWE Rg" w:hAnsi="DecimaWE Rg"/>
          <w:u w:val="single"/>
          <w:lang w:eastAsia="de-DE"/>
        </w:rPr>
        <w:t>Elenco preventivi</w:t>
      </w:r>
      <w:r w:rsidRPr="002A4884">
        <w:rPr>
          <w:rFonts w:ascii="DecimaWE Rg" w:hAnsi="DecimaWE Rg"/>
          <w:lang w:eastAsia="de-DE"/>
        </w:rPr>
        <w:t xml:space="preserve">, 2. </w:t>
      </w:r>
      <w:r w:rsidRPr="002A4884">
        <w:rPr>
          <w:rFonts w:ascii="DecimaWE Rg" w:hAnsi="DecimaWE Rg"/>
          <w:u w:val="single"/>
          <w:lang w:eastAsia="de-DE"/>
        </w:rPr>
        <w:t>Riepilogo spese</w:t>
      </w:r>
      <w:r w:rsidRPr="002A4884">
        <w:rPr>
          <w:rFonts w:ascii="DecimaWE Rg" w:hAnsi="DecimaWE Rg"/>
          <w:lang w:eastAsia="de-DE"/>
        </w:rPr>
        <w:t xml:space="preserve"> e 3. </w:t>
      </w:r>
      <w:r w:rsidRPr="002A4884">
        <w:rPr>
          <w:rFonts w:ascii="DecimaWE Rg" w:hAnsi="DecimaWE Rg"/>
          <w:u w:val="single"/>
          <w:lang w:eastAsia="de-DE"/>
        </w:rPr>
        <w:t>Criteri di selezione</w:t>
      </w:r>
      <w:r w:rsidRPr="002A4884">
        <w:rPr>
          <w:rFonts w:ascii="DecimaWE Rg" w:hAnsi="DecimaWE Rg"/>
          <w:lang w:eastAsia="de-DE"/>
        </w:rPr>
        <w:t>.</w:t>
      </w:r>
    </w:p>
    <w:p w:rsidR="00E31336" w:rsidRPr="002A4884" w:rsidRDefault="00E31336" w:rsidP="00E31336">
      <w:pPr>
        <w:jc w:val="both"/>
        <w:rPr>
          <w:rFonts w:ascii="DecimaWE Rg" w:hAnsi="DecimaWE Rg"/>
          <w:lang w:eastAsia="de-DE"/>
        </w:rPr>
      </w:pPr>
      <w:r w:rsidRPr="002A4884">
        <w:rPr>
          <w:rFonts w:ascii="DecimaWE Rg" w:hAnsi="DecimaWE Rg"/>
          <w:lang w:eastAsia="de-DE"/>
        </w:rPr>
        <w:t xml:space="preserve">Nella sezione dedicata al FEAMP 2014-2020 del sito internet della Regione Friuli Venezia Giulia </w:t>
      </w:r>
      <w:r w:rsidR="00F509CB" w:rsidRPr="00F21791">
        <w:rPr>
          <w:rFonts w:ascii="DecimaWE Rg" w:hAnsi="DecimaWE Rg"/>
          <w:lang w:eastAsia="de-DE"/>
        </w:rPr>
        <w:t xml:space="preserve">per il bando </w:t>
      </w:r>
      <w:r w:rsidR="003C36CE" w:rsidRPr="00F21791">
        <w:rPr>
          <w:rFonts w:ascii="DecimaWE Rg" w:hAnsi="DecimaWE Rg"/>
          <w:lang w:eastAsia="de-DE"/>
        </w:rPr>
        <w:t xml:space="preserve">dedicato </w:t>
      </w:r>
      <w:r w:rsidRPr="00F21791">
        <w:rPr>
          <w:rFonts w:ascii="DecimaWE Rg" w:hAnsi="DecimaWE Rg"/>
          <w:lang w:eastAsia="de-DE"/>
        </w:rPr>
        <w:t xml:space="preserve">sono </w:t>
      </w:r>
      <w:r w:rsidRPr="002A4884">
        <w:rPr>
          <w:rFonts w:ascii="DecimaWE Rg" w:hAnsi="DecimaWE Rg"/>
          <w:lang w:eastAsia="de-DE"/>
        </w:rPr>
        <w:t xml:space="preserve">presenti 2 versioni del citato file: una versione da utilizzare se il numero massimo di voci di spesa è </w:t>
      </w:r>
      <w:r w:rsidR="006C3557">
        <w:rPr>
          <w:rFonts w:ascii="DecimaWE Rg" w:hAnsi="DecimaWE Rg"/>
          <w:lang w:eastAsia="de-DE"/>
        </w:rPr>
        <w:t>2</w:t>
      </w:r>
      <w:r w:rsidRPr="002A4884">
        <w:rPr>
          <w:rFonts w:ascii="DecimaWE Rg" w:hAnsi="DecimaWE Rg"/>
          <w:lang w:eastAsia="de-DE"/>
        </w:rPr>
        <w:t xml:space="preserve">0, una da utilizzare se le voci di spesa sono in numero superiore a </w:t>
      </w:r>
      <w:bookmarkStart w:id="1" w:name="_GoBack"/>
      <w:bookmarkEnd w:id="1"/>
      <w:r w:rsidR="006C3557" w:rsidRPr="00B26CD9">
        <w:rPr>
          <w:rFonts w:ascii="DecimaWE Rg" w:hAnsi="DecimaWE Rg"/>
          <w:lang w:eastAsia="de-DE"/>
        </w:rPr>
        <w:t>2</w:t>
      </w:r>
      <w:r w:rsidRPr="00B26CD9">
        <w:rPr>
          <w:rFonts w:ascii="DecimaWE Rg" w:hAnsi="DecimaWE Rg"/>
          <w:lang w:eastAsia="de-DE"/>
        </w:rPr>
        <w:t>0</w:t>
      </w:r>
      <w:r w:rsidRPr="002A4884">
        <w:rPr>
          <w:rFonts w:ascii="DecimaWE Rg" w:hAnsi="DecimaWE Rg"/>
          <w:lang w:eastAsia="de-DE"/>
        </w:rPr>
        <w:t xml:space="preserve"> e inferiore a 51. Nel caso il numero delle voci di spesa sia superiore a 50 dovrà essere inviata apposita richiesta al Servizio caccia e risorse ittiche al seguente indirizzo e-mail: </w:t>
      </w:r>
      <w:hyperlink r:id="rId9" w:history="1">
        <w:r w:rsidRPr="002A4884">
          <w:rPr>
            <w:rFonts w:ascii="DecimaWE Rg" w:hAnsi="DecimaWE Rg"/>
            <w:lang w:eastAsia="de-DE"/>
          </w:rPr>
          <w:t>cacciapesca@regione.fvg.it</w:t>
        </w:r>
      </w:hyperlink>
      <w:r w:rsidRPr="002A4884">
        <w:rPr>
          <w:rFonts w:ascii="DecimaWE Rg" w:hAnsi="DecimaWE Rg"/>
          <w:lang w:eastAsia="de-DE"/>
        </w:rPr>
        <w:t xml:space="preserve">, indicando nell’oggetto: “FEAMP 2014-2020 - </w:t>
      </w:r>
      <w:proofErr w:type="spellStart"/>
      <w:r w:rsidRPr="002A4884">
        <w:rPr>
          <w:rFonts w:ascii="DecimaWE Rg" w:hAnsi="DecimaWE Rg"/>
          <w:lang w:eastAsia="de-DE"/>
        </w:rPr>
        <w:t>Mis</w:t>
      </w:r>
      <w:proofErr w:type="spellEnd"/>
      <w:r w:rsidRPr="002A4884">
        <w:rPr>
          <w:rFonts w:ascii="DecimaWE Rg" w:hAnsi="DecimaWE Rg"/>
          <w:lang w:eastAsia="de-DE"/>
        </w:rPr>
        <w:t xml:space="preserve">. </w:t>
      </w:r>
      <w:r w:rsidR="00A06949">
        <w:rPr>
          <w:rFonts w:ascii="DecimaWE Rg" w:hAnsi="DecimaWE Rg"/>
          <w:lang w:eastAsia="de-DE"/>
        </w:rPr>
        <w:t>5</w:t>
      </w:r>
      <w:r w:rsidRPr="002A4884">
        <w:rPr>
          <w:rFonts w:ascii="DecimaWE Rg" w:hAnsi="DecimaWE Rg"/>
          <w:lang w:eastAsia="de-DE"/>
        </w:rPr>
        <w:t>.</w:t>
      </w:r>
      <w:r w:rsidR="00A06949">
        <w:rPr>
          <w:rFonts w:ascii="DecimaWE Rg" w:hAnsi="DecimaWE Rg"/>
          <w:lang w:eastAsia="de-DE"/>
        </w:rPr>
        <w:t>69</w:t>
      </w:r>
      <w:r w:rsidRPr="002A4884">
        <w:rPr>
          <w:rFonts w:ascii="DecimaWE Rg" w:hAnsi="DecimaWE Rg"/>
          <w:lang w:eastAsia="de-DE"/>
        </w:rPr>
        <w:t xml:space="preserve"> – richiesta modifiche allegato 03”.</w:t>
      </w:r>
    </w:p>
    <w:p w:rsidR="001E6E7B" w:rsidRPr="002A4884" w:rsidRDefault="001E6E7B" w:rsidP="000138B0">
      <w:pPr>
        <w:rPr>
          <w:rFonts w:ascii="DecimaWE Rg" w:hAnsi="DecimaWE Rg"/>
          <w:b/>
        </w:rPr>
      </w:pPr>
      <w:r w:rsidRPr="002A4884">
        <w:rPr>
          <w:rFonts w:ascii="DecimaWE Rg" w:hAnsi="DecimaWE Rg"/>
          <w:b/>
        </w:rPr>
        <w:t>Foglio di lavoro 1</w:t>
      </w:r>
      <w:r w:rsidR="000138B0" w:rsidRPr="002A4884">
        <w:rPr>
          <w:rFonts w:ascii="DecimaWE Rg" w:hAnsi="DecimaWE Rg"/>
          <w:b/>
        </w:rPr>
        <w:t xml:space="preserve"> </w:t>
      </w:r>
      <w:r w:rsidR="00C138DE" w:rsidRPr="002A4884">
        <w:rPr>
          <w:rFonts w:ascii="DecimaWE Rg" w:hAnsi="DecimaWE Rg"/>
          <w:b/>
        </w:rPr>
        <w:t xml:space="preserve"> - </w:t>
      </w:r>
      <w:r w:rsidRPr="00F509CB">
        <w:rPr>
          <w:rFonts w:ascii="DecimaWE Rg" w:hAnsi="DecimaWE Rg"/>
          <w:b/>
          <w:u w:val="single"/>
        </w:rPr>
        <w:t>Elenco preventivi</w:t>
      </w:r>
    </w:p>
    <w:p w:rsidR="00C105AC" w:rsidRDefault="001E6E7B" w:rsidP="00C138DE">
      <w:pPr>
        <w:jc w:val="both"/>
        <w:rPr>
          <w:rFonts w:ascii="DecimaWE Rg" w:hAnsi="DecimaWE Rg"/>
          <w:lang w:eastAsia="de-DE"/>
        </w:rPr>
      </w:pPr>
      <w:r w:rsidRPr="00F509CB">
        <w:rPr>
          <w:rFonts w:ascii="DecimaWE Rg" w:hAnsi="DecimaWE Rg"/>
          <w:lang w:eastAsia="de-DE"/>
        </w:rPr>
        <w:t xml:space="preserve">Dopo aver compilato la </w:t>
      </w:r>
      <w:r w:rsidR="006B673F" w:rsidRPr="00F509CB">
        <w:rPr>
          <w:rFonts w:ascii="DecimaWE Rg" w:hAnsi="DecimaWE Rg"/>
          <w:lang w:eastAsia="de-DE"/>
        </w:rPr>
        <w:t xml:space="preserve">prima parte </w:t>
      </w:r>
      <w:r w:rsidRPr="00F509CB">
        <w:rPr>
          <w:rFonts w:ascii="DecimaWE Rg" w:hAnsi="DecimaWE Rg"/>
          <w:lang w:eastAsia="de-DE"/>
        </w:rPr>
        <w:t xml:space="preserve">inerente i dati identificativi della ditta/richiedente si procederà ad inserire le informazioni </w:t>
      </w:r>
      <w:r w:rsidR="00E32C7D" w:rsidRPr="00F509CB">
        <w:rPr>
          <w:rFonts w:ascii="DecimaWE Rg" w:hAnsi="DecimaWE Rg"/>
          <w:lang w:eastAsia="de-DE"/>
        </w:rPr>
        <w:t>relative</w:t>
      </w:r>
      <w:r w:rsidR="00E32C7D">
        <w:rPr>
          <w:rFonts w:ascii="DecimaWE Rg" w:hAnsi="DecimaWE Rg"/>
          <w:lang w:eastAsia="de-DE"/>
        </w:rPr>
        <w:t xml:space="preserve"> ai preventivi riguardanti </w:t>
      </w:r>
      <w:r w:rsidRPr="00F509CB">
        <w:rPr>
          <w:rFonts w:ascii="DecimaWE Rg" w:hAnsi="DecimaWE Rg"/>
          <w:lang w:eastAsia="de-DE"/>
        </w:rPr>
        <w:t xml:space="preserve">le voci di spesa </w:t>
      </w:r>
      <w:r w:rsidR="00E32C7D">
        <w:rPr>
          <w:rFonts w:ascii="DecimaWE Rg" w:hAnsi="DecimaWE Rg"/>
          <w:lang w:eastAsia="de-DE"/>
        </w:rPr>
        <w:t>del</w:t>
      </w:r>
      <w:r w:rsidR="00457D6F">
        <w:rPr>
          <w:rFonts w:ascii="DecimaWE Rg" w:hAnsi="DecimaWE Rg"/>
          <w:lang w:eastAsia="de-DE"/>
        </w:rPr>
        <w:t xml:space="preserve"> progetto.</w:t>
      </w:r>
    </w:p>
    <w:p w:rsidR="00BC242E" w:rsidRPr="006461A3" w:rsidRDefault="001E6E7B" w:rsidP="00C138DE">
      <w:pPr>
        <w:jc w:val="both"/>
        <w:rPr>
          <w:rFonts w:ascii="DecimaWE Rg" w:hAnsi="DecimaWE Rg"/>
          <w:lang w:eastAsia="de-DE"/>
        </w:rPr>
      </w:pPr>
      <w:r w:rsidRPr="006461A3">
        <w:rPr>
          <w:rFonts w:ascii="DecimaWE Rg" w:hAnsi="DecimaWE Rg"/>
          <w:lang w:eastAsia="de-DE"/>
        </w:rPr>
        <w:t xml:space="preserve">Per </w:t>
      </w:r>
      <w:r w:rsidRPr="006461A3">
        <w:rPr>
          <w:rFonts w:ascii="DecimaWE Rg" w:hAnsi="DecimaWE Rg"/>
          <w:b/>
          <w:lang w:eastAsia="de-DE"/>
        </w:rPr>
        <w:t>ogni</w:t>
      </w:r>
      <w:r w:rsidRPr="006461A3">
        <w:rPr>
          <w:rFonts w:ascii="DecimaWE Rg" w:hAnsi="DecimaWE Rg"/>
          <w:lang w:eastAsia="de-DE"/>
        </w:rPr>
        <w:t xml:space="preserve"> </w:t>
      </w:r>
      <w:r w:rsidR="00BC242E" w:rsidRPr="006461A3">
        <w:rPr>
          <w:rFonts w:ascii="DecimaWE Rg" w:hAnsi="DecimaWE Rg"/>
          <w:lang w:eastAsia="de-DE"/>
        </w:rPr>
        <w:t xml:space="preserve">singola </w:t>
      </w:r>
      <w:r w:rsidRPr="006461A3">
        <w:rPr>
          <w:rFonts w:ascii="DecimaWE Rg" w:hAnsi="DecimaWE Rg"/>
          <w:lang w:eastAsia="de-DE"/>
        </w:rPr>
        <w:t>voce di spesa</w:t>
      </w:r>
      <w:r w:rsidR="00BC242E" w:rsidRPr="006461A3">
        <w:rPr>
          <w:rFonts w:ascii="DecimaWE Rg" w:hAnsi="DecimaWE Rg"/>
          <w:lang w:eastAsia="de-DE"/>
        </w:rPr>
        <w:t xml:space="preserve"> </w:t>
      </w:r>
      <w:r w:rsidR="003843E8" w:rsidRPr="006461A3">
        <w:rPr>
          <w:rFonts w:ascii="DecimaWE Rg" w:hAnsi="DecimaWE Rg"/>
          <w:lang w:eastAsia="de-DE"/>
        </w:rPr>
        <w:t>vanno</w:t>
      </w:r>
      <w:r w:rsidRPr="006461A3">
        <w:rPr>
          <w:rFonts w:ascii="DecimaWE Rg" w:hAnsi="DecimaWE Rg"/>
          <w:lang w:eastAsia="de-DE"/>
        </w:rPr>
        <w:t xml:space="preserve"> inserite le info</w:t>
      </w:r>
      <w:r w:rsidR="00C318DC" w:rsidRPr="006461A3">
        <w:rPr>
          <w:rFonts w:ascii="DecimaWE Rg" w:hAnsi="DecimaWE Rg"/>
          <w:lang w:eastAsia="de-DE"/>
        </w:rPr>
        <w:t xml:space="preserve">rmazioni </w:t>
      </w:r>
      <w:r w:rsidR="00BC242E" w:rsidRPr="006461A3">
        <w:rPr>
          <w:rFonts w:ascii="DecimaWE Rg" w:hAnsi="DecimaWE Rg"/>
          <w:lang w:eastAsia="de-DE"/>
        </w:rPr>
        <w:t>di</w:t>
      </w:r>
      <w:r w:rsidR="00C318DC" w:rsidRPr="006461A3">
        <w:rPr>
          <w:rFonts w:ascii="DecimaWE Rg" w:hAnsi="DecimaWE Rg"/>
          <w:lang w:eastAsia="de-DE"/>
        </w:rPr>
        <w:t xml:space="preserve"> ciascuno dei</w:t>
      </w:r>
      <w:r w:rsidRPr="006461A3">
        <w:rPr>
          <w:rFonts w:ascii="DecimaWE Rg" w:hAnsi="DecimaWE Rg"/>
          <w:lang w:eastAsia="de-DE"/>
        </w:rPr>
        <w:t xml:space="preserve"> preventivi </w:t>
      </w:r>
      <w:r w:rsidR="003843E8" w:rsidRPr="006461A3">
        <w:rPr>
          <w:rFonts w:ascii="DecimaWE Rg" w:hAnsi="DecimaWE Rg"/>
          <w:lang w:eastAsia="de-DE"/>
        </w:rPr>
        <w:t xml:space="preserve">secondo le modalità sotto descritte secondo quanto </w:t>
      </w:r>
      <w:r w:rsidR="00BC242E" w:rsidRPr="006461A3">
        <w:rPr>
          <w:rFonts w:ascii="DecimaWE Rg" w:hAnsi="DecimaWE Rg"/>
          <w:lang w:eastAsia="de-DE"/>
        </w:rPr>
        <w:t>previsto</w:t>
      </w:r>
      <w:r w:rsidRPr="006461A3">
        <w:rPr>
          <w:rFonts w:ascii="DecimaWE Rg" w:hAnsi="DecimaWE Rg"/>
          <w:lang w:eastAsia="de-DE"/>
        </w:rPr>
        <w:t xml:space="preserve"> </w:t>
      </w:r>
      <w:r w:rsidR="00BC242E" w:rsidRPr="006461A3">
        <w:rPr>
          <w:rFonts w:ascii="DecimaWE Rg" w:hAnsi="DecimaWE Rg"/>
          <w:lang w:eastAsia="de-DE"/>
        </w:rPr>
        <w:t xml:space="preserve">dal </w:t>
      </w:r>
      <w:r w:rsidR="00773E8A" w:rsidRPr="00513296">
        <w:rPr>
          <w:rFonts w:ascii="DecimaWE Rg" w:hAnsi="DecimaWE Rg"/>
          <w:lang w:eastAsia="de-DE"/>
        </w:rPr>
        <w:t>capitolo 21</w:t>
      </w:r>
      <w:r w:rsidR="00BC242E" w:rsidRPr="00513296">
        <w:rPr>
          <w:rFonts w:ascii="DecimaWE Rg" w:hAnsi="DecimaWE Rg"/>
          <w:lang w:eastAsia="de-DE"/>
        </w:rPr>
        <w:t xml:space="preserve"> del</w:t>
      </w:r>
      <w:r w:rsidR="00BC242E" w:rsidRPr="006461A3">
        <w:rPr>
          <w:rFonts w:ascii="DecimaWE Rg" w:hAnsi="DecimaWE Rg"/>
          <w:lang w:eastAsia="de-DE"/>
        </w:rPr>
        <w:t xml:space="preserve"> bando</w:t>
      </w:r>
      <w:r w:rsidR="003843E8" w:rsidRPr="006461A3">
        <w:rPr>
          <w:rFonts w:ascii="DecimaWE Rg" w:hAnsi="DecimaWE Rg"/>
          <w:lang w:eastAsia="de-DE"/>
        </w:rPr>
        <w:t>.</w:t>
      </w:r>
    </w:p>
    <w:p w:rsidR="003843E8" w:rsidRPr="006461A3" w:rsidRDefault="003843E8" w:rsidP="00034874">
      <w:pPr>
        <w:spacing w:after="120"/>
        <w:jc w:val="both"/>
        <w:rPr>
          <w:rFonts w:ascii="DecimaWE Rg" w:hAnsi="DecimaWE Rg"/>
          <w:lang w:eastAsia="de-DE"/>
        </w:rPr>
      </w:pPr>
      <w:r w:rsidRPr="006461A3">
        <w:rPr>
          <w:rFonts w:ascii="DecimaWE Rg" w:hAnsi="DecimaWE Rg"/>
          <w:lang w:eastAsia="de-DE"/>
        </w:rPr>
        <w:t>Nella prima riga (I</w:t>
      </w:r>
      <w:r w:rsidR="00BB00D6">
        <w:rPr>
          <w:rFonts w:ascii="DecimaWE Rg" w:hAnsi="DecimaWE Rg"/>
          <w:lang w:eastAsia="de-DE"/>
        </w:rPr>
        <w:t>^</w:t>
      </w:r>
      <w:r w:rsidRPr="006461A3">
        <w:rPr>
          <w:rFonts w:ascii="DecimaWE Rg" w:hAnsi="DecimaWE Rg"/>
          <w:lang w:eastAsia="de-DE"/>
        </w:rPr>
        <w:t>) di colore giallo chiaro di ogni sezione vanno indicate le informazioni relative al preventivo scelto ai fini dell’imputazione della spesa al progetto</w:t>
      </w:r>
      <w:r w:rsidR="00034874" w:rsidRPr="006461A3">
        <w:rPr>
          <w:rFonts w:ascii="DecimaWE Rg" w:hAnsi="DecimaWE Rg"/>
          <w:lang w:eastAsia="de-DE"/>
        </w:rPr>
        <w:t>.</w:t>
      </w:r>
    </w:p>
    <w:p w:rsidR="00A22E51" w:rsidRPr="00F509CB" w:rsidRDefault="000E5202" w:rsidP="00034874">
      <w:pPr>
        <w:spacing w:after="120"/>
        <w:jc w:val="both"/>
        <w:rPr>
          <w:rFonts w:ascii="DecimaWE Rg" w:hAnsi="DecimaWE Rg"/>
          <w:lang w:eastAsia="de-DE"/>
        </w:rPr>
      </w:pPr>
      <w:r w:rsidRPr="006461A3">
        <w:rPr>
          <w:rFonts w:ascii="DecimaWE Rg" w:hAnsi="DecimaWE Rg"/>
          <w:lang w:eastAsia="de-DE"/>
        </w:rPr>
        <w:t xml:space="preserve">Il/i preventivo/i di spesa non scelto </w:t>
      </w:r>
      <w:r w:rsidR="00E54E7D" w:rsidRPr="006461A3">
        <w:rPr>
          <w:rFonts w:ascii="DecimaWE Rg" w:hAnsi="DecimaWE Rg"/>
          <w:lang w:eastAsia="de-DE"/>
        </w:rPr>
        <w:t xml:space="preserve">(di confronto) </w:t>
      </w:r>
      <w:r w:rsidRPr="006461A3">
        <w:rPr>
          <w:rFonts w:ascii="DecimaWE Rg" w:hAnsi="DecimaWE Rg"/>
          <w:lang w:eastAsia="de-DE"/>
        </w:rPr>
        <w:t xml:space="preserve">ai fini del progetto vanno indicati </w:t>
      </w:r>
      <w:r w:rsidRPr="006461A3">
        <w:rPr>
          <w:rFonts w:ascii="DecimaWE Rg" w:hAnsi="DecimaWE Rg"/>
          <w:u w:val="single"/>
          <w:lang w:eastAsia="de-DE"/>
        </w:rPr>
        <w:t>rispettivamente</w:t>
      </w:r>
      <w:r w:rsidRPr="006461A3">
        <w:rPr>
          <w:rFonts w:ascii="DecimaWE Rg" w:hAnsi="DecimaWE Rg"/>
          <w:lang w:eastAsia="de-DE"/>
        </w:rPr>
        <w:t xml:space="preserve"> nelle righe sottostanti indicate dal colore </w:t>
      </w:r>
      <w:r w:rsidR="00E53E21" w:rsidRPr="006461A3">
        <w:rPr>
          <w:rFonts w:ascii="DecimaWE Rg" w:hAnsi="DecimaWE Rg"/>
          <w:lang w:eastAsia="de-DE"/>
        </w:rPr>
        <w:t>giallo scuro</w:t>
      </w:r>
      <w:r w:rsidRPr="006461A3">
        <w:rPr>
          <w:rFonts w:ascii="DecimaWE Rg" w:hAnsi="DecimaWE Rg"/>
          <w:lang w:eastAsia="de-DE"/>
        </w:rPr>
        <w:t xml:space="preserve"> </w:t>
      </w:r>
      <w:r w:rsidR="00E53E21" w:rsidRPr="006461A3">
        <w:rPr>
          <w:rFonts w:ascii="DecimaWE Rg" w:hAnsi="DecimaWE Rg"/>
          <w:lang w:eastAsia="de-DE"/>
        </w:rPr>
        <w:t>(</w:t>
      </w:r>
      <w:r w:rsidRPr="006461A3">
        <w:rPr>
          <w:rFonts w:ascii="DecimaWE Rg" w:hAnsi="DecimaWE Rg"/>
          <w:lang w:eastAsia="de-DE"/>
        </w:rPr>
        <w:t>II</w:t>
      </w:r>
      <w:r w:rsidR="00221DD0" w:rsidRPr="006461A3">
        <w:rPr>
          <w:rFonts w:ascii="DecimaWE Rg" w:hAnsi="DecimaWE Rg"/>
          <w:lang w:eastAsia="de-DE"/>
        </w:rPr>
        <w:t>^</w:t>
      </w:r>
      <w:r w:rsidRPr="006461A3">
        <w:rPr>
          <w:rFonts w:ascii="DecimaWE Rg" w:hAnsi="DecimaWE Rg"/>
          <w:lang w:eastAsia="de-DE"/>
        </w:rPr>
        <w:t xml:space="preserve"> </w:t>
      </w:r>
      <w:r w:rsidR="00E53E21" w:rsidRPr="006461A3">
        <w:rPr>
          <w:rFonts w:ascii="DecimaWE Rg" w:hAnsi="DecimaWE Rg"/>
          <w:lang w:eastAsia="de-DE"/>
        </w:rPr>
        <w:t>e</w:t>
      </w:r>
      <w:r w:rsidRPr="006461A3">
        <w:rPr>
          <w:rFonts w:ascii="DecimaWE Rg" w:hAnsi="DecimaWE Rg"/>
          <w:lang w:eastAsia="de-DE"/>
        </w:rPr>
        <w:t>/o III</w:t>
      </w:r>
      <w:r w:rsidR="00221DD0" w:rsidRPr="006461A3">
        <w:rPr>
          <w:rFonts w:ascii="DecimaWE Rg" w:hAnsi="DecimaWE Rg"/>
          <w:lang w:eastAsia="de-DE"/>
        </w:rPr>
        <w:t>^</w:t>
      </w:r>
      <w:r w:rsidR="00E53E21" w:rsidRPr="006461A3">
        <w:rPr>
          <w:rFonts w:ascii="DecimaWE Rg" w:hAnsi="DecimaWE Rg"/>
          <w:lang w:eastAsia="de-DE"/>
        </w:rPr>
        <w:t xml:space="preserve"> riga)</w:t>
      </w:r>
      <w:r w:rsidRPr="006461A3">
        <w:rPr>
          <w:rFonts w:ascii="DecimaWE Rg" w:hAnsi="DecimaWE Rg"/>
          <w:lang w:eastAsia="de-DE"/>
        </w:rPr>
        <w:t>.</w:t>
      </w:r>
      <w:r w:rsidRPr="00F509CB">
        <w:rPr>
          <w:rFonts w:ascii="DecimaWE Rg" w:hAnsi="DecimaWE Rg"/>
          <w:lang w:eastAsia="de-DE"/>
        </w:rPr>
        <w:t xml:space="preserve"> </w:t>
      </w:r>
    </w:p>
    <w:p w:rsidR="000E5202" w:rsidRPr="002A4884" w:rsidRDefault="000E5202" w:rsidP="00034874">
      <w:pPr>
        <w:spacing w:after="120"/>
        <w:jc w:val="both"/>
        <w:rPr>
          <w:rFonts w:ascii="DecimaWE Rg" w:hAnsi="DecimaWE Rg"/>
          <w:lang w:eastAsia="de-DE"/>
        </w:rPr>
      </w:pPr>
      <w:r w:rsidRPr="002A4884">
        <w:rPr>
          <w:rFonts w:ascii="DecimaWE Rg" w:hAnsi="DecimaWE Rg"/>
          <w:lang w:eastAsia="de-DE"/>
        </w:rPr>
        <w:t>Compilata la sezione</w:t>
      </w:r>
      <w:r w:rsidR="00E53E21" w:rsidRPr="002A4884">
        <w:rPr>
          <w:rFonts w:ascii="DecimaWE Rg" w:hAnsi="DecimaWE Rg"/>
          <w:lang w:eastAsia="de-DE"/>
        </w:rPr>
        <w:t xml:space="preserve"> composta da tre righe</w:t>
      </w:r>
      <w:r w:rsidR="0032632C" w:rsidRPr="002A4884">
        <w:rPr>
          <w:rFonts w:ascii="DecimaWE Rg" w:hAnsi="DecimaWE Rg"/>
          <w:lang w:eastAsia="de-DE"/>
        </w:rPr>
        <w:t xml:space="preserve"> relativa ad ogni voce di spesa</w:t>
      </w:r>
      <w:r w:rsidRPr="002A4884">
        <w:rPr>
          <w:rFonts w:ascii="DecimaWE Rg" w:hAnsi="DecimaWE Rg"/>
          <w:lang w:eastAsia="de-DE"/>
        </w:rPr>
        <w:t xml:space="preserve">, comprensiva della parte relativa agli importi, il sistema, nel caso in cui non sia stato scelto il preventivo con minore (o uguale) importo su 3 preventivi, classificherà </w:t>
      </w:r>
      <w:r w:rsidR="00876179" w:rsidRPr="002A4884">
        <w:rPr>
          <w:rFonts w:ascii="DecimaWE Rg" w:hAnsi="DecimaWE Rg"/>
          <w:lang w:eastAsia="de-DE"/>
        </w:rPr>
        <w:t>tale</w:t>
      </w:r>
      <w:r w:rsidRPr="002A4884">
        <w:rPr>
          <w:rFonts w:ascii="DecimaWE Rg" w:hAnsi="DecimaWE Rg"/>
          <w:lang w:eastAsia="de-DE"/>
        </w:rPr>
        <w:t xml:space="preserve"> casistica e produrrà un messaggio nella </w:t>
      </w:r>
      <w:r w:rsidRPr="002A4884">
        <w:rPr>
          <w:rFonts w:ascii="DecimaWE Rg" w:hAnsi="DecimaWE Rg"/>
          <w:i/>
          <w:lang w:eastAsia="de-DE"/>
        </w:rPr>
        <w:t>colonna H</w:t>
      </w:r>
      <w:r w:rsidR="00C138DE" w:rsidRPr="002A4884">
        <w:rPr>
          <w:rFonts w:ascii="DecimaWE Rg" w:hAnsi="DecimaWE Rg"/>
          <w:lang w:eastAsia="de-DE"/>
        </w:rPr>
        <w:t xml:space="preserve"> del foglio di lavoro</w:t>
      </w:r>
      <w:r w:rsidR="00876179" w:rsidRPr="002A4884">
        <w:rPr>
          <w:rFonts w:ascii="DecimaWE Rg" w:hAnsi="DecimaWE Rg"/>
          <w:lang w:eastAsia="de-DE"/>
        </w:rPr>
        <w:t xml:space="preserve"> con le istruzion</w:t>
      </w:r>
      <w:r w:rsidR="00F509CB">
        <w:rPr>
          <w:rFonts w:ascii="DecimaWE Rg" w:hAnsi="DecimaWE Rg"/>
          <w:lang w:eastAsia="de-DE"/>
        </w:rPr>
        <w:t>i</w:t>
      </w:r>
      <w:r w:rsidR="00876179" w:rsidRPr="002A4884">
        <w:rPr>
          <w:rFonts w:ascii="DecimaWE Rg" w:hAnsi="DecimaWE Rg"/>
          <w:lang w:eastAsia="de-DE"/>
        </w:rPr>
        <w:t xml:space="preserve"> </w:t>
      </w:r>
      <w:r w:rsidR="00E95B3B" w:rsidRPr="002A4884">
        <w:rPr>
          <w:rFonts w:ascii="DecimaWE Rg" w:hAnsi="DecimaWE Rg"/>
          <w:lang w:eastAsia="de-DE"/>
        </w:rPr>
        <w:t xml:space="preserve">da seguire </w:t>
      </w:r>
      <w:r w:rsidR="00876179" w:rsidRPr="002A4884">
        <w:rPr>
          <w:rFonts w:ascii="DecimaWE Rg" w:hAnsi="DecimaWE Rg"/>
          <w:lang w:eastAsia="de-DE"/>
        </w:rPr>
        <w:t>per la compilazione dell’eventuale</w:t>
      </w:r>
      <w:r w:rsidR="00E95B3B" w:rsidRPr="002A4884">
        <w:rPr>
          <w:rFonts w:ascii="DecimaWE Rg" w:hAnsi="DecimaWE Rg"/>
          <w:lang w:eastAsia="de-DE"/>
        </w:rPr>
        <w:t xml:space="preserve"> casella “note” (</w:t>
      </w:r>
      <w:r w:rsidR="00E95B3B" w:rsidRPr="002A4884">
        <w:rPr>
          <w:rFonts w:ascii="DecimaWE Rg" w:hAnsi="DecimaWE Rg"/>
          <w:i/>
          <w:lang w:eastAsia="de-DE"/>
        </w:rPr>
        <w:t>colonna I</w:t>
      </w:r>
      <w:r w:rsidR="00E95B3B" w:rsidRPr="002A4884">
        <w:rPr>
          <w:rFonts w:ascii="DecimaWE Rg" w:hAnsi="DecimaWE Rg"/>
          <w:lang w:eastAsia="de-DE"/>
        </w:rPr>
        <w:t>)</w:t>
      </w:r>
      <w:r w:rsidR="00876179" w:rsidRPr="002A4884">
        <w:rPr>
          <w:rFonts w:ascii="DecimaWE Rg" w:hAnsi="DecimaWE Rg"/>
          <w:lang w:eastAsia="de-DE"/>
        </w:rPr>
        <w:t xml:space="preserve"> al fine di fornire </w:t>
      </w:r>
      <w:r w:rsidR="00E95B3B" w:rsidRPr="002A4884">
        <w:rPr>
          <w:rFonts w:ascii="DecimaWE Rg" w:hAnsi="DecimaWE Rg"/>
          <w:lang w:eastAsia="de-DE"/>
        </w:rPr>
        <w:t xml:space="preserve">le motivazioni per la scelta del preventivo </w:t>
      </w:r>
      <w:r w:rsidR="00876179" w:rsidRPr="002A4884">
        <w:rPr>
          <w:rFonts w:ascii="DecimaWE Rg" w:hAnsi="DecimaWE Rg"/>
          <w:lang w:eastAsia="de-DE"/>
        </w:rPr>
        <w:t>.</w:t>
      </w:r>
    </w:p>
    <w:p w:rsidR="002B36FB" w:rsidRPr="002A4884" w:rsidRDefault="002B36FB" w:rsidP="002B36FB">
      <w:pPr>
        <w:jc w:val="both"/>
        <w:rPr>
          <w:rFonts w:ascii="DecimaWE Rg" w:hAnsi="DecimaWE Rg"/>
          <w:lang w:eastAsia="de-DE"/>
        </w:rPr>
      </w:pPr>
      <w:r w:rsidRPr="002A4884">
        <w:rPr>
          <w:rFonts w:ascii="DecimaWE Rg" w:hAnsi="DecimaWE Rg"/>
          <w:lang w:eastAsia="de-DE"/>
        </w:rPr>
        <w:t>Es.</w:t>
      </w:r>
      <w:r w:rsidR="006520D7" w:rsidRPr="002A4884">
        <w:rPr>
          <w:rFonts w:ascii="DecimaWE Rg" w:hAnsi="DecimaWE Rg"/>
          <w:lang w:eastAsia="de-DE"/>
        </w:rPr>
        <w:t xml:space="preserve"> </w:t>
      </w:r>
      <w:r w:rsidRPr="002A4884">
        <w:rPr>
          <w:rFonts w:ascii="DecimaWE Rg" w:hAnsi="DecimaWE Rg"/>
          <w:lang w:eastAsia="de-DE"/>
        </w:rPr>
        <w:t>1. Caso in cui l’importo del preventivo scelto non è il minore dei 3 preventivi. Messaggio: “Sinteticamente nelle note motivare perché il preventivo scelto non è quello di minore importo (es. mancanza di ditte fornitrici, difficile reperimento del prodotto sul mercato ecc.” Compilare la casella note (</w:t>
      </w:r>
      <w:r w:rsidRPr="00F509CB">
        <w:rPr>
          <w:rFonts w:ascii="DecimaWE Rg" w:hAnsi="DecimaWE Rg"/>
          <w:i/>
          <w:lang w:eastAsia="de-DE"/>
        </w:rPr>
        <w:t>colonna I</w:t>
      </w:r>
      <w:r w:rsidRPr="002A4884">
        <w:rPr>
          <w:rFonts w:ascii="DecimaWE Rg" w:hAnsi="DecimaWE Rg"/>
          <w:lang w:eastAsia="de-DE"/>
        </w:rPr>
        <w:t>) per motivare perché il preventivo prescelto non è il più economico.</w:t>
      </w:r>
    </w:p>
    <w:p w:rsidR="00F405F6" w:rsidRDefault="00F405F6" w:rsidP="00C138DE">
      <w:pPr>
        <w:jc w:val="both"/>
        <w:rPr>
          <w:rFonts w:ascii="DecimaWE Rg" w:hAnsi="DecimaWE Rg"/>
          <w:lang w:eastAsia="de-DE"/>
        </w:rPr>
      </w:pPr>
      <w:r w:rsidRPr="002A4884">
        <w:rPr>
          <w:rFonts w:ascii="DecimaWE Rg" w:hAnsi="DecimaWE Rg"/>
          <w:lang w:eastAsia="de-DE"/>
        </w:rPr>
        <w:t>Es.</w:t>
      </w:r>
      <w:r w:rsidR="006520D7" w:rsidRPr="002A4884">
        <w:rPr>
          <w:rFonts w:ascii="DecimaWE Rg" w:hAnsi="DecimaWE Rg"/>
          <w:lang w:eastAsia="de-DE"/>
        </w:rPr>
        <w:t xml:space="preserve"> </w:t>
      </w:r>
      <w:r w:rsidR="002B36FB" w:rsidRPr="002A4884">
        <w:rPr>
          <w:rFonts w:ascii="DecimaWE Rg" w:hAnsi="DecimaWE Rg"/>
          <w:lang w:eastAsia="de-DE"/>
        </w:rPr>
        <w:t>2</w:t>
      </w:r>
      <w:r w:rsidRPr="002A4884">
        <w:rPr>
          <w:rFonts w:ascii="DecimaWE Rg" w:hAnsi="DecimaWE Rg"/>
          <w:lang w:eastAsia="de-DE"/>
        </w:rPr>
        <w:t xml:space="preserve">. Presentazione di solo 2 preventivi anziché i 3 previsti. </w:t>
      </w:r>
      <w:r w:rsidR="0032632C" w:rsidRPr="002A4884">
        <w:rPr>
          <w:rFonts w:ascii="DecimaWE Rg" w:hAnsi="DecimaWE Rg"/>
          <w:lang w:eastAsia="de-DE"/>
        </w:rPr>
        <w:t>Compilata solamente la</w:t>
      </w:r>
      <w:r w:rsidRPr="002A4884">
        <w:rPr>
          <w:rFonts w:ascii="DecimaWE Rg" w:hAnsi="DecimaWE Rg"/>
          <w:lang w:eastAsia="de-DE"/>
        </w:rPr>
        <w:t xml:space="preserve"> I^ </w:t>
      </w:r>
      <w:r w:rsidR="00221DD0" w:rsidRPr="002A4884">
        <w:rPr>
          <w:rFonts w:ascii="DecimaWE Rg" w:hAnsi="DecimaWE Rg"/>
          <w:lang w:eastAsia="de-DE"/>
        </w:rPr>
        <w:t xml:space="preserve">riga </w:t>
      </w:r>
      <w:r w:rsidRPr="002A4884">
        <w:rPr>
          <w:rFonts w:ascii="DecimaWE Rg" w:hAnsi="DecimaWE Rg"/>
          <w:lang w:eastAsia="de-DE"/>
        </w:rPr>
        <w:t xml:space="preserve">(preventivo scelto) e </w:t>
      </w:r>
      <w:r w:rsidR="00221DD0" w:rsidRPr="002A4884">
        <w:rPr>
          <w:rFonts w:ascii="DecimaWE Rg" w:hAnsi="DecimaWE Rg"/>
          <w:lang w:eastAsia="de-DE"/>
        </w:rPr>
        <w:t xml:space="preserve">la </w:t>
      </w:r>
      <w:r w:rsidRPr="002A4884">
        <w:rPr>
          <w:rFonts w:ascii="DecimaWE Rg" w:hAnsi="DecimaWE Rg"/>
          <w:lang w:eastAsia="de-DE"/>
        </w:rPr>
        <w:t>II^ riga</w:t>
      </w:r>
      <w:r w:rsidR="0032632C" w:rsidRPr="002A4884">
        <w:rPr>
          <w:rFonts w:ascii="DecimaWE Rg" w:hAnsi="DecimaWE Rg"/>
          <w:lang w:eastAsia="de-DE"/>
        </w:rPr>
        <w:t xml:space="preserve"> (</w:t>
      </w:r>
      <w:r w:rsidR="00221DD0" w:rsidRPr="002A4884">
        <w:rPr>
          <w:rFonts w:ascii="DecimaWE Rg" w:hAnsi="DecimaWE Rg"/>
          <w:lang w:eastAsia="de-DE"/>
        </w:rPr>
        <w:t xml:space="preserve">la </w:t>
      </w:r>
      <w:r w:rsidR="0032632C" w:rsidRPr="002A4884">
        <w:rPr>
          <w:rFonts w:ascii="DecimaWE Rg" w:hAnsi="DecimaWE Rg"/>
          <w:lang w:eastAsia="de-DE"/>
        </w:rPr>
        <w:t xml:space="preserve">III^ riga non </w:t>
      </w:r>
      <w:r w:rsidR="00221DD0" w:rsidRPr="002A4884">
        <w:rPr>
          <w:rFonts w:ascii="DecimaWE Rg" w:hAnsi="DecimaWE Rg"/>
          <w:lang w:eastAsia="de-DE"/>
        </w:rPr>
        <w:t xml:space="preserve">è stata </w:t>
      </w:r>
      <w:r w:rsidR="0032632C" w:rsidRPr="002A4884">
        <w:rPr>
          <w:rFonts w:ascii="DecimaWE Rg" w:hAnsi="DecimaWE Rg"/>
          <w:lang w:eastAsia="de-DE"/>
        </w:rPr>
        <w:t>compilata)</w:t>
      </w:r>
      <w:r w:rsidRPr="002A4884">
        <w:rPr>
          <w:rFonts w:ascii="DecimaWE Rg" w:hAnsi="DecimaWE Rg"/>
          <w:lang w:eastAsia="de-DE"/>
        </w:rPr>
        <w:t>. Messaggio: “</w:t>
      </w:r>
      <w:r w:rsidR="002D5BCE" w:rsidRPr="002A4884">
        <w:rPr>
          <w:rFonts w:ascii="DecimaWE Rg" w:hAnsi="DecimaWE Rg"/>
          <w:lang w:eastAsia="de-DE"/>
        </w:rPr>
        <w:t>I due preventivi indicati e allegati devono essere corredati da copia del listino prezzi di riferimento e/o dichiarazione del fornitore dalla quale risulti che i prezzi adottati non sono superiori a quelli di listino. Se il preventivo scelto non è quello di minore importo motivare sinteticamente la ragione nelle note”</w:t>
      </w:r>
      <w:r w:rsidRPr="002A4884">
        <w:rPr>
          <w:rFonts w:ascii="DecimaWE Rg" w:hAnsi="DecimaWE Rg"/>
          <w:lang w:eastAsia="de-DE"/>
        </w:rPr>
        <w:t xml:space="preserve">. Compilare la casella note </w:t>
      </w:r>
      <w:r w:rsidR="002D5BCE" w:rsidRPr="002A4884">
        <w:rPr>
          <w:rFonts w:ascii="DecimaWE Rg" w:hAnsi="DecimaWE Rg"/>
          <w:lang w:eastAsia="de-DE"/>
        </w:rPr>
        <w:t>(</w:t>
      </w:r>
      <w:r w:rsidR="002D5BCE" w:rsidRPr="00B9701D">
        <w:rPr>
          <w:rFonts w:ascii="DecimaWE Rg" w:hAnsi="DecimaWE Rg"/>
          <w:i/>
          <w:lang w:eastAsia="de-DE"/>
        </w:rPr>
        <w:t>colonna I</w:t>
      </w:r>
      <w:r w:rsidR="002D5BCE" w:rsidRPr="002A4884">
        <w:rPr>
          <w:rFonts w:ascii="DecimaWE Rg" w:hAnsi="DecimaWE Rg"/>
          <w:lang w:eastAsia="de-DE"/>
        </w:rPr>
        <w:t xml:space="preserve">) </w:t>
      </w:r>
      <w:r w:rsidR="0032632C" w:rsidRPr="002A4884">
        <w:rPr>
          <w:rFonts w:ascii="DecimaWE Rg" w:hAnsi="DecimaWE Rg"/>
          <w:lang w:eastAsia="de-DE"/>
        </w:rPr>
        <w:t>per motivare la mancanza del III° preventivo</w:t>
      </w:r>
      <w:r w:rsidRPr="002A4884">
        <w:rPr>
          <w:rFonts w:ascii="DecimaWE Rg" w:hAnsi="DecimaWE Rg"/>
          <w:lang w:eastAsia="de-DE"/>
        </w:rPr>
        <w:t>.</w:t>
      </w:r>
    </w:p>
    <w:p w:rsidR="003F1063" w:rsidRPr="002A4884" w:rsidRDefault="003F1063" w:rsidP="00C138DE">
      <w:pPr>
        <w:jc w:val="both"/>
        <w:rPr>
          <w:rFonts w:ascii="DecimaWE Rg" w:hAnsi="DecimaWE Rg"/>
          <w:lang w:eastAsia="de-DE"/>
        </w:rPr>
      </w:pPr>
    </w:p>
    <w:p w:rsidR="00813E9D" w:rsidRPr="002A4884" w:rsidRDefault="00813E9D" w:rsidP="0044755C">
      <w:pPr>
        <w:rPr>
          <w:rFonts w:ascii="DecimaWE Rg" w:hAnsi="DecimaWE Rg"/>
          <w:b/>
        </w:rPr>
      </w:pPr>
      <w:bookmarkStart w:id="2" w:name="_Toc477348491"/>
      <w:r w:rsidRPr="002A4884">
        <w:rPr>
          <w:rFonts w:ascii="DecimaWE Rg" w:hAnsi="DecimaWE Rg"/>
          <w:b/>
        </w:rPr>
        <w:lastRenderedPageBreak/>
        <w:t>Foglio di lavoro 2</w:t>
      </w:r>
      <w:r w:rsidR="0044755C" w:rsidRPr="002A4884">
        <w:rPr>
          <w:rFonts w:ascii="DecimaWE Rg" w:hAnsi="DecimaWE Rg"/>
          <w:b/>
        </w:rPr>
        <w:t xml:space="preserve"> - </w:t>
      </w:r>
      <w:r w:rsidRPr="00F509CB">
        <w:rPr>
          <w:rFonts w:ascii="DecimaWE Rg" w:hAnsi="DecimaWE Rg"/>
          <w:b/>
          <w:u w:val="single"/>
        </w:rPr>
        <w:t>Riepilogo spese</w:t>
      </w:r>
      <w:bookmarkEnd w:id="2"/>
    </w:p>
    <w:p w:rsidR="00813E9D" w:rsidRPr="002A4884" w:rsidRDefault="00813E9D" w:rsidP="00AB7101">
      <w:pPr>
        <w:jc w:val="both"/>
        <w:rPr>
          <w:rFonts w:ascii="DecimaWE Rg" w:hAnsi="DecimaWE Rg"/>
          <w:lang w:eastAsia="de-DE"/>
        </w:rPr>
      </w:pPr>
      <w:r w:rsidRPr="002A4884">
        <w:rPr>
          <w:rFonts w:ascii="DecimaWE Rg" w:hAnsi="DecimaWE Rg"/>
          <w:lang w:eastAsia="de-DE"/>
        </w:rPr>
        <w:t xml:space="preserve">Una volta completata la compilazione del </w:t>
      </w:r>
      <w:r w:rsidR="003D329E" w:rsidRPr="002A4884">
        <w:rPr>
          <w:rFonts w:ascii="DecimaWE Rg" w:hAnsi="DecimaWE Rg"/>
          <w:lang w:eastAsia="de-DE"/>
        </w:rPr>
        <w:t>foglio di lavoro 1.</w:t>
      </w:r>
      <w:r w:rsidR="003D329E" w:rsidRPr="002A4884">
        <w:rPr>
          <w:rFonts w:ascii="DecimaWE Rg" w:hAnsi="DecimaWE Rg"/>
          <w:u w:val="single"/>
          <w:lang w:eastAsia="de-DE"/>
        </w:rPr>
        <w:t>Elenco preventivi</w:t>
      </w:r>
      <w:r w:rsidRPr="002A4884">
        <w:rPr>
          <w:rFonts w:ascii="DecimaWE Rg" w:hAnsi="DecimaWE Rg"/>
          <w:lang w:eastAsia="de-DE"/>
        </w:rPr>
        <w:t xml:space="preserve"> il successivo foglio di lavoro 2</w:t>
      </w:r>
      <w:r w:rsidR="00C418F6" w:rsidRPr="002A4884">
        <w:rPr>
          <w:rFonts w:ascii="DecimaWE Rg" w:hAnsi="DecimaWE Rg"/>
          <w:lang w:eastAsia="de-DE"/>
        </w:rPr>
        <w:t>.</w:t>
      </w:r>
      <w:r w:rsidR="00C418F6" w:rsidRPr="002A4884">
        <w:rPr>
          <w:rFonts w:ascii="DecimaWE Rg" w:hAnsi="DecimaWE Rg"/>
          <w:u w:val="single"/>
          <w:lang w:eastAsia="de-DE"/>
        </w:rPr>
        <w:t>R</w:t>
      </w:r>
      <w:r w:rsidRPr="002A4884">
        <w:rPr>
          <w:rFonts w:ascii="DecimaWE Rg" w:hAnsi="DecimaWE Rg"/>
          <w:u w:val="single"/>
          <w:lang w:eastAsia="de-DE"/>
        </w:rPr>
        <w:t>iepilogo spese</w:t>
      </w:r>
      <w:r w:rsidRPr="002A4884">
        <w:rPr>
          <w:rFonts w:ascii="DecimaWE Rg" w:hAnsi="DecimaWE Rg"/>
          <w:lang w:eastAsia="de-DE"/>
        </w:rPr>
        <w:t xml:space="preserve"> risulterà automat</w:t>
      </w:r>
      <w:r w:rsidR="00C418F6" w:rsidRPr="002A4884">
        <w:rPr>
          <w:rFonts w:ascii="DecimaWE Rg" w:hAnsi="DecimaWE Rg"/>
          <w:lang w:eastAsia="de-DE"/>
        </w:rPr>
        <w:t xml:space="preserve">icamente compilato </w:t>
      </w:r>
      <w:r w:rsidR="00763793" w:rsidRPr="002A4884">
        <w:rPr>
          <w:rFonts w:ascii="DecimaWE Rg" w:hAnsi="DecimaWE Rg"/>
          <w:lang w:eastAsia="de-DE"/>
        </w:rPr>
        <w:t>per la parte anagrafica e per i campi P</w:t>
      </w:r>
      <w:r w:rsidRPr="002A4884">
        <w:rPr>
          <w:rFonts w:ascii="DecimaWE Rg" w:hAnsi="DecimaWE Rg"/>
          <w:lang w:eastAsia="de-DE"/>
        </w:rPr>
        <w:t>reventivo</w:t>
      </w:r>
      <w:r w:rsidR="00763793" w:rsidRPr="002A4884">
        <w:rPr>
          <w:rFonts w:ascii="DecimaWE Rg" w:hAnsi="DecimaWE Rg"/>
          <w:lang w:eastAsia="de-DE"/>
        </w:rPr>
        <w:t xml:space="preserve"> N°</w:t>
      </w:r>
      <w:r w:rsidRPr="002A4884">
        <w:rPr>
          <w:rFonts w:ascii="DecimaWE Rg" w:hAnsi="DecimaWE Rg"/>
          <w:lang w:eastAsia="de-DE"/>
        </w:rPr>
        <w:t xml:space="preserve">, </w:t>
      </w:r>
      <w:r w:rsidR="00763793" w:rsidRPr="002A4884">
        <w:rPr>
          <w:rFonts w:ascii="DecimaWE Rg" w:hAnsi="DecimaWE Rg"/>
          <w:lang w:eastAsia="de-DE"/>
        </w:rPr>
        <w:t>D</w:t>
      </w:r>
      <w:r w:rsidR="00C418F6" w:rsidRPr="002A4884">
        <w:rPr>
          <w:rFonts w:ascii="DecimaWE Rg" w:hAnsi="DecimaWE Rg"/>
          <w:lang w:eastAsia="de-DE"/>
        </w:rPr>
        <w:t xml:space="preserve">ata documento, Ditta/Fornitore, </w:t>
      </w:r>
      <w:r w:rsidR="00763793" w:rsidRPr="002A4884">
        <w:rPr>
          <w:rFonts w:ascii="DecimaWE Rg" w:hAnsi="DecimaWE Rg"/>
          <w:lang w:eastAsia="de-DE"/>
        </w:rPr>
        <w:t>O</w:t>
      </w:r>
      <w:r w:rsidRPr="002A4884">
        <w:rPr>
          <w:rFonts w:ascii="DecimaWE Rg" w:hAnsi="DecimaWE Rg"/>
          <w:lang w:eastAsia="de-DE"/>
        </w:rPr>
        <w:t xml:space="preserve">ggetto </w:t>
      </w:r>
      <w:r w:rsidR="00C418F6" w:rsidRPr="002A4884">
        <w:rPr>
          <w:rFonts w:ascii="DecimaWE Rg" w:hAnsi="DecimaWE Rg"/>
          <w:lang w:eastAsia="de-DE"/>
        </w:rPr>
        <w:t xml:space="preserve">e </w:t>
      </w:r>
      <w:r w:rsidR="00763793" w:rsidRPr="002A4884">
        <w:rPr>
          <w:rFonts w:ascii="DecimaWE Rg" w:hAnsi="DecimaWE Rg"/>
          <w:lang w:eastAsia="de-DE"/>
        </w:rPr>
        <w:t>I</w:t>
      </w:r>
      <w:r w:rsidR="00C418F6" w:rsidRPr="002A4884">
        <w:rPr>
          <w:rFonts w:ascii="DecimaWE Rg" w:hAnsi="DecimaWE Rg"/>
          <w:lang w:eastAsia="de-DE"/>
        </w:rPr>
        <w:t>mporto del preventivo</w:t>
      </w:r>
      <w:r w:rsidRPr="002A4884">
        <w:rPr>
          <w:rFonts w:ascii="DecimaWE Rg" w:hAnsi="DecimaWE Rg"/>
          <w:lang w:eastAsia="de-DE"/>
        </w:rPr>
        <w:t xml:space="preserve"> </w:t>
      </w:r>
      <w:r w:rsidR="000D03B8" w:rsidRPr="002A4884">
        <w:rPr>
          <w:rFonts w:ascii="DecimaWE Rg" w:hAnsi="DecimaWE Rg"/>
          <w:lang w:eastAsia="de-DE"/>
        </w:rPr>
        <w:t>(</w:t>
      </w:r>
      <w:r w:rsidR="000D03B8" w:rsidRPr="002A4884">
        <w:rPr>
          <w:rFonts w:ascii="DecimaWE Rg" w:hAnsi="DecimaWE Rg"/>
          <w:i/>
          <w:lang w:eastAsia="de-DE"/>
        </w:rPr>
        <w:t xml:space="preserve">colonne da A </w:t>
      </w:r>
      <w:proofErr w:type="spellStart"/>
      <w:r w:rsidR="000D03B8" w:rsidRPr="002A4884">
        <w:rPr>
          <w:rFonts w:ascii="DecimaWE Rg" w:hAnsi="DecimaWE Rg"/>
          <w:i/>
          <w:lang w:eastAsia="de-DE"/>
        </w:rPr>
        <w:t>a</w:t>
      </w:r>
      <w:proofErr w:type="spellEnd"/>
      <w:r w:rsidR="000D03B8" w:rsidRPr="002A4884">
        <w:rPr>
          <w:rFonts w:ascii="DecimaWE Rg" w:hAnsi="DecimaWE Rg"/>
          <w:i/>
          <w:lang w:eastAsia="de-DE"/>
        </w:rPr>
        <w:t xml:space="preserve"> E</w:t>
      </w:r>
      <w:r w:rsidR="000D03B8" w:rsidRPr="002A4884">
        <w:rPr>
          <w:rFonts w:ascii="DecimaWE Rg" w:hAnsi="DecimaWE Rg"/>
          <w:lang w:eastAsia="de-DE"/>
        </w:rPr>
        <w:t xml:space="preserve">) </w:t>
      </w:r>
      <w:r w:rsidR="00921FC7" w:rsidRPr="002A4884">
        <w:rPr>
          <w:rFonts w:ascii="DecimaWE Rg" w:hAnsi="DecimaWE Rg"/>
          <w:lang w:eastAsia="de-DE"/>
        </w:rPr>
        <w:t>con</w:t>
      </w:r>
      <w:r w:rsidR="00C418F6" w:rsidRPr="002A4884">
        <w:rPr>
          <w:rFonts w:ascii="DecimaWE Rg" w:hAnsi="DecimaWE Rg"/>
          <w:lang w:eastAsia="de-DE"/>
        </w:rPr>
        <w:t xml:space="preserve"> riferimento ai</w:t>
      </w:r>
      <w:r w:rsidR="00921FC7" w:rsidRPr="002A4884">
        <w:rPr>
          <w:rFonts w:ascii="DecimaWE Rg" w:hAnsi="DecimaWE Rg"/>
          <w:lang w:eastAsia="de-DE"/>
        </w:rPr>
        <w:t xml:space="preserve"> dati relativi ai </w:t>
      </w:r>
      <w:r w:rsidRPr="002A4884">
        <w:rPr>
          <w:rFonts w:ascii="DecimaWE Rg" w:hAnsi="DecimaWE Rg"/>
          <w:lang w:eastAsia="de-DE"/>
        </w:rPr>
        <w:t xml:space="preserve">preventivi prescelti </w:t>
      </w:r>
      <w:r w:rsidR="00921FC7" w:rsidRPr="002A4884">
        <w:rPr>
          <w:rFonts w:ascii="DecimaWE Rg" w:hAnsi="DecimaWE Rg"/>
          <w:lang w:eastAsia="de-DE"/>
        </w:rPr>
        <w:t xml:space="preserve">(I^ riga colore </w:t>
      </w:r>
      <w:r w:rsidR="00C418F6" w:rsidRPr="002A4884">
        <w:rPr>
          <w:rFonts w:ascii="DecimaWE Rg" w:hAnsi="DecimaWE Rg"/>
          <w:lang w:eastAsia="de-DE"/>
        </w:rPr>
        <w:t xml:space="preserve">giallo chiaro del </w:t>
      </w:r>
      <w:r w:rsidRPr="002A4884">
        <w:rPr>
          <w:rFonts w:ascii="DecimaWE Rg" w:hAnsi="DecimaWE Rg"/>
          <w:lang w:eastAsia="de-DE"/>
        </w:rPr>
        <w:t>foglio di lavoro 1</w:t>
      </w:r>
      <w:r w:rsidR="00763793" w:rsidRPr="002A4884">
        <w:rPr>
          <w:rFonts w:ascii="DecimaWE Rg" w:hAnsi="DecimaWE Rg"/>
          <w:lang w:eastAsia="de-DE"/>
        </w:rPr>
        <w:t xml:space="preserve">. </w:t>
      </w:r>
      <w:r w:rsidR="00763793" w:rsidRPr="002A4884">
        <w:rPr>
          <w:rFonts w:ascii="DecimaWE Rg" w:hAnsi="DecimaWE Rg"/>
          <w:u w:val="single"/>
          <w:lang w:eastAsia="de-DE"/>
        </w:rPr>
        <w:t>Elenco preventivi</w:t>
      </w:r>
      <w:r w:rsidR="000D03B8" w:rsidRPr="002A4884">
        <w:rPr>
          <w:rFonts w:ascii="DecimaWE Rg" w:hAnsi="DecimaWE Rg"/>
          <w:lang w:eastAsia="de-DE"/>
        </w:rPr>
        <w:t>)</w:t>
      </w:r>
      <w:r w:rsidR="00C418F6" w:rsidRPr="002A4884">
        <w:rPr>
          <w:rFonts w:ascii="DecimaWE Rg" w:hAnsi="DecimaWE Rg"/>
          <w:lang w:eastAsia="de-DE"/>
        </w:rPr>
        <w:t>.</w:t>
      </w:r>
      <w:r w:rsidR="00763793" w:rsidRPr="002A4884">
        <w:rPr>
          <w:rFonts w:ascii="DecimaWE Rg" w:hAnsi="DecimaWE Rg"/>
          <w:lang w:eastAsia="de-DE"/>
        </w:rPr>
        <w:t xml:space="preserve"> </w:t>
      </w:r>
      <w:r w:rsidR="001E0AA1" w:rsidRPr="002A4884">
        <w:rPr>
          <w:rFonts w:ascii="DecimaWE Rg" w:hAnsi="DecimaWE Rg"/>
          <w:lang w:eastAsia="de-DE"/>
        </w:rPr>
        <w:t xml:space="preserve">Il totale delle spese così ottenuto </w:t>
      </w:r>
      <w:r w:rsidR="000D03B8" w:rsidRPr="002A4884">
        <w:rPr>
          <w:rFonts w:ascii="DecimaWE Rg" w:hAnsi="DecimaWE Rg"/>
          <w:lang w:eastAsia="de-DE"/>
        </w:rPr>
        <w:t>(</w:t>
      </w:r>
      <w:r w:rsidR="000D03B8" w:rsidRPr="002A4884">
        <w:rPr>
          <w:rFonts w:ascii="DecimaWE Rg" w:hAnsi="DecimaWE Rg"/>
          <w:i/>
          <w:lang w:eastAsia="de-DE"/>
        </w:rPr>
        <w:t>colonna E</w:t>
      </w:r>
      <w:r w:rsidR="000D03B8" w:rsidRPr="002A4884">
        <w:rPr>
          <w:rFonts w:ascii="DecimaWE Rg" w:hAnsi="DecimaWE Rg"/>
          <w:lang w:eastAsia="de-DE"/>
        </w:rPr>
        <w:t xml:space="preserve">) </w:t>
      </w:r>
      <w:r w:rsidR="001E0AA1" w:rsidRPr="002A4884">
        <w:rPr>
          <w:rFonts w:ascii="DecimaWE Rg" w:hAnsi="DecimaWE Rg"/>
          <w:lang w:eastAsia="de-DE"/>
        </w:rPr>
        <w:t>costituirà l’importo del progetto</w:t>
      </w:r>
      <w:r w:rsidR="00CC3F96" w:rsidRPr="002A4884">
        <w:rPr>
          <w:rFonts w:ascii="DecimaWE Rg" w:hAnsi="DecimaWE Rg"/>
          <w:lang w:eastAsia="de-DE"/>
        </w:rPr>
        <w:t xml:space="preserve"> per il quale viene</w:t>
      </w:r>
      <w:r w:rsidR="001E0AA1" w:rsidRPr="002A4884">
        <w:rPr>
          <w:rFonts w:ascii="DecimaWE Rg" w:hAnsi="DecimaWE Rg"/>
          <w:lang w:eastAsia="de-DE"/>
        </w:rPr>
        <w:t xml:space="preserve"> richiesto </w:t>
      </w:r>
      <w:r w:rsidR="00CC3F96" w:rsidRPr="002A4884">
        <w:rPr>
          <w:rFonts w:ascii="DecimaWE Rg" w:hAnsi="DecimaWE Rg"/>
          <w:lang w:eastAsia="de-DE"/>
        </w:rPr>
        <w:t>il finanziamento</w:t>
      </w:r>
      <w:r w:rsidR="000D03B8" w:rsidRPr="002A4884">
        <w:rPr>
          <w:rFonts w:ascii="DecimaWE Rg" w:hAnsi="DecimaWE Rg"/>
          <w:lang w:eastAsia="de-DE"/>
        </w:rPr>
        <w:t>,</w:t>
      </w:r>
      <w:r w:rsidR="00CC3F96" w:rsidRPr="002A4884">
        <w:rPr>
          <w:rFonts w:ascii="DecimaWE Rg" w:hAnsi="DecimaWE Rg"/>
          <w:lang w:eastAsia="de-DE"/>
        </w:rPr>
        <w:t xml:space="preserve"> </w:t>
      </w:r>
      <w:r w:rsidR="00955755" w:rsidRPr="002A4884">
        <w:rPr>
          <w:rFonts w:ascii="DecimaWE Rg" w:hAnsi="DecimaWE Rg"/>
          <w:lang w:eastAsia="de-DE"/>
        </w:rPr>
        <w:t>corrispondente</w:t>
      </w:r>
      <w:r w:rsidR="00CC3F96" w:rsidRPr="002A4884">
        <w:rPr>
          <w:rFonts w:ascii="DecimaWE Rg" w:hAnsi="DecimaWE Rg"/>
          <w:lang w:eastAsia="de-DE"/>
        </w:rPr>
        <w:t xml:space="preserve"> a quanto indicato </w:t>
      </w:r>
      <w:r w:rsidR="005D13AE" w:rsidRPr="002A4884">
        <w:rPr>
          <w:rFonts w:ascii="DecimaWE Rg" w:hAnsi="DecimaWE Rg"/>
          <w:lang w:eastAsia="de-DE"/>
        </w:rPr>
        <w:t>a pag. 1</w:t>
      </w:r>
      <w:r w:rsidR="00CC3F96" w:rsidRPr="002A4884">
        <w:rPr>
          <w:rFonts w:ascii="DecimaWE Rg" w:hAnsi="DecimaWE Rg"/>
          <w:lang w:eastAsia="de-DE"/>
        </w:rPr>
        <w:t xml:space="preserve"> della domanda </w:t>
      </w:r>
      <w:r w:rsidR="005D13AE" w:rsidRPr="002A4884">
        <w:rPr>
          <w:rFonts w:ascii="DecimaWE Rg" w:hAnsi="DecimaWE Rg"/>
          <w:lang w:eastAsia="de-DE"/>
        </w:rPr>
        <w:t xml:space="preserve">di contributo </w:t>
      </w:r>
      <w:r w:rsidR="00412E0F">
        <w:rPr>
          <w:rFonts w:ascii="DecimaWE Rg" w:hAnsi="DecimaWE Rg"/>
          <w:lang w:eastAsia="de-DE"/>
        </w:rPr>
        <w:t>(A</w:t>
      </w:r>
      <w:r w:rsidR="00CC3F96" w:rsidRPr="002A4884">
        <w:rPr>
          <w:rFonts w:ascii="DecimaWE Rg" w:hAnsi="DecimaWE Rg"/>
          <w:lang w:eastAsia="de-DE"/>
        </w:rPr>
        <w:t xml:space="preserve">llegato </w:t>
      </w:r>
      <w:r w:rsidR="005D13AE" w:rsidRPr="002A4884">
        <w:rPr>
          <w:rFonts w:ascii="DecimaWE Rg" w:hAnsi="DecimaWE Rg"/>
          <w:lang w:eastAsia="de-DE"/>
        </w:rPr>
        <w:t>01</w:t>
      </w:r>
      <w:r w:rsidR="00CC3F96" w:rsidRPr="002A4884">
        <w:rPr>
          <w:rFonts w:ascii="DecimaWE Rg" w:hAnsi="DecimaWE Rg"/>
          <w:lang w:eastAsia="de-DE"/>
        </w:rPr>
        <w:t>).</w:t>
      </w:r>
    </w:p>
    <w:p w:rsidR="000D03B8" w:rsidRPr="00F22A3E" w:rsidRDefault="00C418F6" w:rsidP="00AB7101">
      <w:pPr>
        <w:jc w:val="both"/>
        <w:rPr>
          <w:rFonts w:ascii="DecimaWE Rg" w:hAnsi="DecimaWE Rg"/>
          <w:lang w:eastAsia="de-DE"/>
        </w:rPr>
      </w:pPr>
      <w:r w:rsidRPr="00F509CB">
        <w:rPr>
          <w:rFonts w:ascii="DecimaWE Rg" w:hAnsi="DecimaWE Rg"/>
          <w:b/>
          <w:lang w:eastAsia="de-DE"/>
        </w:rPr>
        <w:t>Ogni preventivo</w:t>
      </w:r>
      <w:r w:rsidRPr="002A4884">
        <w:rPr>
          <w:rFonts w:ascii="DecimaWE Rg" w:hAnsi="DecimaWE Rg"/>
          <w:lang w:eastAsia="de-DE"/>
        </w:rPr>
        <w:t xml:space="preserve"> riportato nel foglio di lavoro 2.</w:t>
      </w:r>
      <w:r w:rsidRPr="002A4884">
        <w:rPr>
          <w:rFonts w:ascii="DecimaWE Rg" w:hAnsi="DecimaWE Rg"/>
          <w:u w:val="single"/>
          <w:lang w:eastAsia="de-DE"/>
        </w:rPr>
        <w:t>Riepilogo spese</w:t>
      </w:r>
      <w:r w:rsidRPr="002A4884">
        <w:rPr>
          <w:rFonts w:ascii="DecimaWE Rg" w:hAnsi="DecimaWE Rg"/>
          <w:lang w:eastAsia="de-DE"/>
        </w:rPr>
        <w:t xml:space="preserve"> </w:t>
      </w:r>
      <w:r w:rsidRPr="00F509CB">
        <w:rPr>
          <w:rFonts w:ascii="DecimaWE Rg" w:hAnsi="DecimaWE Rg"/>
          <w:b/>
          <w:lang w:eastAsia="de-DE"/>
        </w:rPr>
        <w:t xml:space="preserve">deve essere </w:t>
      </w:r>
      <w:r w:rsidR="000D03B8" w:rsidRPr="00F509CB">
        <w:rPr>
          <w:rFonts w:ascii="DecimaWE Rg" w:hAnsi="DecimaWE Rg"/>
          <w:b/>
          <w:lang w:eastAsia="de-DE"/>
        </w:rPr>
        <w:t xml:space="preserve">quindi </w:t>
      </w:r>
      <w:r w:rsidRPr="00F509CB">
        <w:rPr>
          <w:rFonts w:ascii="DecimaWE Rg" w:hAnsi="DecimaWE Rg"/>
          <w:b/>
          <w:lang w:eastAsia="de-DE"/>
        </w:rPr>
        <w:t>classificato</w:t>
      </w:r>
      <w:r w:rsidRPr="002A4884">
        <w:rPr>
          <w:rFonts w:ascii="DecimaWE Rg" w:hAnsi="DecimaWE Rg"/>
          <w:lang w:eastAsia="de-DE"/>
        </w:rPr>
        <w:t xml:space="preserve"> utilizzando le opzion</w:t>
      </w:r>
      <w:r w:rsidR="003C36CE">
        <w:rPr>
          <w:rFonts w:ascii="DecimaWE Rg" w:hAnsi="DecimaWE Rg"/>
          <w:lang w:eastAsia="de-DE"/>
        </w:rPr>
        <w:t>i</w:t>
      </w:r>
      <w:r w:rsidRPr="002A4884">
        <w:rPr>
          <w:rFonts w:ascii="DecimaWE Rg" w:hAnsi="DecimaWE Rg"/>
          <w:lang w:eastAsia="de-DE"/>
        </w:rPr>
        <w:t xml:space="preserve"> </w:t>
      </w:r>
      <w:r w:rsidRPr="00F22A3E">
        <w:rPr>
          <w:rFonts w:ascii="DecimaWE Rg" w:hAnsi="DecimaWE Rg"/>
          <w:lang w:eastAsia="de-DE"/>
        </w:rPr>
        <w:t xml:space="preserve">proposte dal menù a tendina procedendo </w:t>
      </w:r>
      <w:r w:rsidR="00254B18" w:rsidRPr="00F22A3E">
        <w:rPr>
          <w:rFonts w:ascii="DecimaWE Rg" w:hAnsi="DecimaWE Rg"/>
          <w:lang w:eastAsia="de-DE"/>
        </w:rPr>
        <w:t xml:space="preserve">seguendo il seguente </w:t>
      </w:r>
      <w:r w:rsidRPr="00F22A3E">
        <w:rPr>
          <w:rFonts w:ascii="DecimaWE Rg" w:hAnsi="DecimaWE Rg"/>
          <w:lang w:eastAsia="de-DE"/>
        </w:rPr>
        <w:t xml:space="preserve">ordine: </w:t>
      </w:r>
    </w:p>
    <w:p w:rsidR="000D03B8" w:rsidRPr="00F22A3E" w:rsidRDefault="00254B18" w:rsidP="00864C55">
      <w:pPr>
        <w:pStyle w:val="Paragrafoelenco"/>
        <w:numPr>
          <w:ilvl w:val="0"/>
          <w:numId w:val="2"/>
        </w:numPr>
        <w:jc w:val="both"/>
        <w:rPr>
          <w:rFonts w:ascii="DecimaWE Rg" w:hAnsi="DecimaWE Rg"/>
          <w:lang w:eastAsia="de-DE"/>
        </w:rPr>
      </w:pPr>
      <w:r w:rsidRPr="00F22A3E">
        <w:rPr>
          <w:rFonts w:ascii="DecimaWE Rg" w:hAnsi="DecimaWE Rg"/>
          <w:lang w:eastAsia="de-DE"/>
        </w:rPr>
        <w:t>classificazione spesa I livello</w:t>
      </w:r>
      <w:r w:rsidR="00A87587" w:rsidRPr="00F22A3E">
        <w:rPr>
          <w:rFonts w:ascii="DecimaWE Rg" w:hAnsi="DecimaWE Rg"/>
          <w:lang w:eastAsia="de-DE"/>
        </w:rPr>
        <w:t xml:space="preserve"> (</w:t>
      </w:r>
      <w:r w:rsidR="009215D3" w:rsidRPr="00F22A3E">
        <w:rPr>
          <w:rFonts w:ascii="DecimaWE Rg" w:hAnsi="DecimaWE Rg"/>
          <w:i/>
          <w:lang w:eastAsia="de-DE"/>
        </w:rPr>
        <w:t xml:space="preserve">campo giallo chiaro - </w:t>
      </w:r>
      <w:r w:rsidR="00A87587" w:rsidRPr="00F22A3E">
        <w:rPr>
          <w:rFonts w:ascii="DecimaWE Rg" w:hAnsi="DecimaWE Rg"/>
          <w:i/>
          <w:lang w:eastAsia="de-DE"/>
        </w:rPr>
        <w:t>colonna F</w:t>
      </w:r>
      <w:r w:rsidR="00A87587" w:rsidRPr="00F22A3E">
        <w:rPr>
          <w:rFonts w:ascii="DecimaWE Rg" w:hAnsi="DecimaWE Rg"/>
          <w:lang w:eastAsia="de-DE"/>
        </w:rPr>
        <w:t>)</w:t>
      </w:r>
      <w:r w:rsidR="000D03B8" w:rsidRPr="00F22A3E">
        <w:rPr>
          <w:rFonts w:ascii="DecimaWE Rg" w:hAnsi="DecimaWE Rg"/>
          <w:lang w:eastAsia="de-DE"/>
        </w:rPr>
        <w:t>;</w:t>
      </w:r>
    </w:p>
    <w:p w:rsidR="000D03B8" w:rsidRPr="00F22A3E" w:rsidRDefault="00254B18" w:rsidP="00864C55">
      <w:pPr>
        <w:pStyle w:val="Paragrafoelenco"/>
        <w:numPr>
          <w:ilvl w:val="0"/>
          <w:numId w:val="2"/>
        </w:numPr>
        <w:jc w:val="both"/>
        <w:rPr>
          <w:rFonts w:ascii="DecimaWE Rg" w:hAnsi="DecimaWE Rg"/>
          <w:lang w:eastAsia="de-DE"/>
        </w:rPr>
      </w:pPr>
      <w:r w:rsidRPr="00F22A3E">
        <w:rPr>
          <w:rFonts w:ascii="DecimaWE Rg" w:hAnsi="DecimaWE Rg"/>
          <w:lang w:eastAsia="de-DE"/>
        </w:rPr>
        <w:t>cl</w:t>
      </w:r>
      <w:r w:rsidR="000D03B8" w:rsidRPr="00F22A3E">
        <w:rPr>
          <w:rFonts w:ascii="DecimaWE Rg" w:hAnsi="DecimaWE Rg"/>
          <w:lang w:eastAsia="de-DE"/>
        </w:rPr>
        <w:t>assificazione spesa II livello</w:t>
      </w:r>
      <w:r w:rsidR="00A87587" w:rsidRPr="00F22A3E">
        <w:rPr>
          <w:rFonts w:ascii="DecimaWE Rg" w:hAnsi="DecimaWE Rg"/>
          <w:lang w:eastAsia="de-DE"/>
        </w:rPr>
        <w:t xml:space="preserve"> (</w:t>
      </w:r>
      <w:r w:rsidR="009215D3" w:rsidRPr="00F22A3E">
        <w:rPr>
          <w:rFonts w:ascii="DecimaWE Rg" w:hAnsi="DecimaWE Rg"/>
          <w:i/>
          <w:lang w:eastAsia="de-DE"/>
        </w:rPr>
        <w:t xml:space="preserve">campo giallo chiaro - </w:t>
      </w:r>
      <w:r w:rsidR="00A87587" w:rsidRPr="00F22A3E">
        <w:rPr>
          <w:rFonts w:ascii="DecimaWE Rg" w:hAnsi="DecimaWE Rg"/>
          <w:i/>
          <w:lang w:eastAsia="de-DE"/>
        </w:rPr>
        <w:t>colonna G</w:t>
      </w:r>
      <w:r w:rsidR="00A87587" w:rsidRPr="00F22A3E">
        <w:rPr>
          <w:rFonts w:ascii="DecimaWE Rg" w:hAnsi="DecimaWE Rg"/>
          <w:lang w:eastAsia="de-DE"/>
        </w:rPr>
        <w:t>)</w:t>
      </w:r>
      <w:r w:rsidR="000D03B8" w:rsidRPr="00F22A3E">
        <w:rPr>
          <w:rFonts w:ascii="DecimaWE Rg" w:hAnsi="DecimaWE Rg"/>
          <w:lang w:eastAsia="de-DE"/>
        </w:rPr>
        <w:t>;</w:t>
      </w:r>
    </w:p>
    <w:p w:rsidR="00AB2B2D" w:rsidRDefault="00AB2B2D" w:rsidP="00AB2B2D">
      <w:pPr>
        <w:jc w:val="both"/>
        <w:rPr>
          <w:rFonts w:ascii="DecimaWE Rg" w:hAnsi="DecimaWE Rg"/>
          <w:lang w:eastAsia="de-DE"/>
        </w:rPr>
      </w:pPr>
      <w:r w:rsidRPr="00F3489B">
        <w:rPr>
          <w:rFonts w:ascii="DecimaWE Rg" w:hAnsi="DecimaWE Rg"/>
          <w:lang w:eastAsia="de-DE"/>
        </w:rPr>
        <w:t>Di seguito</w:t>
      </w:r>
      <w:r w:rsidR="001F539A" w:rsidRPr="00F3489B">
        <w:rPr>
          <w:rFonts w:ascii="DecimaWE Rg" w:hAnsi="DecimaWE Rg"/>
          <w:lang w:eastAsia="de-DE"/>
        </w:rPr>
        <w:t>,</w:t>
      </w:r>
      <w:r w:rsidRPr="00F3489B">
        <w:rPr>
          <w:rFonts w:ascii="DecimaWE Rg" w:hAnsi="DecimaWE Rg"/>
          <w:lang w:eastAsia="de-DE"/>
        </w:rPr>
        <w:t xml:space="preserve"> per le </w:t>
      </w:r>
      <w:r w:rsidRPr="00F3489B">
        <w:rPr>
          <w:rFonts w:ascii="DecimaWE Rg" w:hAnsi="DecimaWE Rg"/>
          <w:i/>
          <w:lang w:eastAsia="de-DE"/>
        </w:rPr>
        <w:t>colonn</w:t>
      </w:r>
      <w:r w:rsidR="001F539A" w:rsidRPr="00F3489B">
        <w:rPr>
          <w:rFonts w:ascii="DecimaWE Rg" w:hAnsi="DecimaWE Rg"/>
          <w:i/>
          <w:lang w:eastAsia="de-DE"/>
        </w:rPr>
        <w:t>e</w:t>
      </w:r>
      <w:r w:rsidRPr="00F3489B">
        <w:rPr>
          <w:rFonts w:ascii="DecimaWE Rg" w:hAnsi="DecimaWE Rg"/>
          <w:i/>
          <w:lang w:eastAsia="de-DE"/>
        </w:rPr>
        <w:t xml:space="preserve"> F e G</w:t>
      </w:r>
      <w:r w:rsidR="001F539A" w:rsidRPr="00F3489B">
        <w:rPr>
          <w:rFonts w:ascii="DecimaWE Rg" w:hAnsi="DecimaWE Rg"/>
          <w:lang w:eastAsia="de-DE"/>
        </w:rPr>
        <w:t>,</w:t>
      </w:r>
      <w:r w:rsidRPr="00F3489B">
        <w:rPr>
          <w:rFonts w:ascii="DecimaWE Rg" w:hAnsi="DecimaWE Rg"/>
          <w:lang w:eastAsia="de-DE"/>
        </w:rPr>
        <w:t xml:space="preserve"> vengono riportate le opzioni proposte ne</w:t>
      </w:r>
      <w:r w:rsidR="001F539A" w:rsidRPr="00F3489B">
        <w:rPr>
          <w:rFonts w:ascii="DecimaWE Rg" w:hAnsi="DecimaWE Rg"/>
          <w:lang w:eastAsia="de-DE"/>
        </w:rPr>
        <w:t>i</w:t>
      </w:r>
      <w:r w:rsidRPr="00F3489B">
        <w:rPr>
          <w:rFonts w:ascii="DecimaWE Rg" w:hAnsi="DecimaWE Rg"/>
          <w:lang w:eastAsia="de-DE"/>
        </w:rPr>
        <w:t xml:space="preserve"> menù a tendina. </w:t>
      </w:r>
    </w:p>
    <w:tbl>
      <w:tblPr>
        <w:tblW w:w="979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20"/>
        <w:gridCol w:w="6876"/>
      </w:tblGrid>
      <w:tr w:rsidR="00AB2B2D" w:rsidRPr="007C6AC4" w:rsidTr="00407BFE">
        <w:trPr>
          <w:trHeight w:val="427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B2B2D" w:rsidRPr="00F3489B" w:rsidRDefault="00AB2B2D" w:rsidP="00AB2B2D">
            <w:pPr>
              <w:spacing w:after="0" w:line="240" w:lineRule="auto"/>
              <w:jc w:val="center"/>
              <w:rPr>
                <w:rFonts w:ascii="DecimaWE Rg" w:eastAsia="Times New Roman" w:hAnsi="DecimaWE Rg"/>
                <w:b/>
                <w:bCs/>
                <w:color w:val="000000"/>
                <w:sz w:val="24"/>
                <w:szCs w:val="28"/>
                <w:lang w:eastAsia="it-IT"/>
              </w:rPr>
            </w:pPr>
            <w:bookmarkStart w:id="3" w:name="RANGE!B2:C19"/>
            <w:r w:rsidRPr="00F3489B">
              <w:rPr>
                <w:rFonts w:ascii="DecimaWE Rg" w:eastAsia="Times New Roman" w:hAnsi="DecimaWE Rg"/>
                <w:b/>
                <w:bCs/>
                <w:color w:val="000000"/>
                <w:sz w:val="24"/>
                <w:szCs w:val="28"/>
                <w:lang w:eastAsia="it-IT"/>
              </w:rPr>
              <w:t>Colonna F</w:t>
            </w:r>
            <w:bookmarkEnd w:id="3"/>
          </w:p>
        </w:tc>
        <w:tc>
          <w:tcPr>
            <w:tcW w:w="6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AB2B2D" w:rsidRPr="00F3489B" w:rsidRDefault="00AB2B2D" w:rsidP="00AB2B2D">
            <w:pPr>
              <w:spacing w:after="0" w:line="240" w:lineRule="auto"/>
              <w:jc w:val="center"/>
              <w:rPr>
                <w:rFonts w:ascii="DecimaWE Rg" w:eastAsia="Times New Roman" w:hAnsi="DecimaWE Rg"/>
                <w:b/>
                <w:bCs/>
                <w:color w:val="000000"/>
                <w:sz w:val="24"/>
                <w:szCs w:val="28"/>
                <w:lang w:eastAsia="it-IT"/>
              </w:rPr>
            </w:pPr>
            <w:r w:rsidRPr="00F3489B">
              <w:rPr>
                <w:rFonts w:ascii="DecimaWE Rg" w:eastAsia="Times New Roman" w:hAnsi="DecimaWE Rg"/>
                <w:b/>
                <w:bCs/>
                <w:color w:val="000000"/>
                <w:sz w:val="24"/>
                <w:szCs w:val="28"/>
                <w:lang w:eastAsia="it-IT"/>
              </w:rPr>
              <w:t>Colonna G</w:t>
            </w:r>
          </w:p>
        </w:tc>
      </w:tr>
      <w:tr w:rsidR="002A4884" w:rsidRPr="007C6AC4" w:rsidTr="00407BFE">
        <w:trPr>
          <w:trHeight w:val="987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2A4884" w:rsidRPr="00F3489B" w:rsidRDefault="002A4884" w:rsidP="002A4884">
            <w:pPr>
              <w:spacing w:after="0" w:line="240" w:lineRule="auto"/>
              <w:jc w:val="center"/>
              <w:rPr>
                <w:rFonts w:ascii="DecimaWE Rg" w:eastAsia="Times New Roman" w:hAnsi="DecimaWE Rg"/>
                <w:b/>
                <w:bCs/>
                <w:color w:val="000000"/>
                <w:sz w:val="20"/>
                <w:szCs w:val="28"/>
                <w:lang w:eastAsia="it-IT"/>
              </w:rPr>
            </w:pPr>
            <w:r w:rsidRPr="00F3489B">
              <w:rPr>
                <w:rFonts w:ascii="DecimaWE Rg" w:eastAsia="Times New Roman" w:hAnsi="DecimaWE Rg"/>
                <w:b/>
                <w:bCs/>
                <w:color w:val="000000"/>
                <w:sz w:val="20"/>
                <w:szCs w:val="28"/>
                <w:lang w:eastAsia="it-IT"/>
              </w:rPr>
              <w:t>Classificazione spesa</w:t>
            </w:r>
          </w:p>
          <w:p w:rsidR="002A4884" w:rsidRPr="00F3489B" w:rsidRDefault="002A4884" w:rsidP="002A4884">
            <w:pPr>
              <w:spacing w:after="0" w:line="240" w:lineRule="auto"/>
              <w:jc w:val="center"/>
              <w:rPr>
                <w:rFonts w:ascii="DecimaWE Rg" w:eastAsia="Times New Roman" w:hAnsi="DecimaWE Rg"/>
                <w:b/>
                <w:bCs/>
                <w:color w:val="000000"/>
                <w:sz w:val="20"/>
                <w:szCs w:val="28"/>
                <w:lang w:eastAsia="it-IT"/>
              </w:rPr>
            </w:pPr>
            <w:r w:rsidRPr="00F3489B">
              <w:rPr>
                <w:rFonts w:ascii="DecimaWE Rg" w:eastAsia="Times New Roman" w:hAnsi="DecimaWE Rg"/>
                <w:b/>
                <w:bCs/>
                <w:color w:val="000000"/>
                <w:sz w:val="20"/>
                <w:szCs w:val="28"/>
                <w:lang w:eastAsia="it-IT"/>
              </w:rPr>
              <w:t>I livello</w:t>
            </w:r>
          </w:p>
        </w:tc>
        <w:tc>
          <w:tcPr>
            <w:tcW w:w="6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A4884" w:rsidRPr="00F3489B" w:rsidRDefault="002A4884" w:rsidP="002A4884">
            <w:pPr>
              <w:spacing w:after="0" w:line="240" w:lineRule="auto"/>
              <w:jc w:val="center"/>
              <w:rPr>
                <w:rFonts w:ascii="DecimaWE Rg" w:eastAsia="Times New Roman" w:hAnsi="DecimaWE Rg"/>
                <w:b/>
                <w:bCs/>
                <w:color w:val="000000"/>
                <w:sz w:val="20"/>
                <w:szCs w:val="28"/>
                <w:lang w:eastAsia="it-IT"/>
              </w:rPr>
            </w:pPr>
            <w:r w:rsidRPr="00F3489B">
              <w:rPr>
                <w:rFonts w:ascii="DecimaWE Rg" w:eastAsia="Times New Roman" w:hAnsi="DecimaWE Rg"/>
                <w:b/>
                <w:bCs/>
                <w:color w:val="000000"/>
                <w:sz w:val="20"/>
                <w:szCs w:val="28"/>
                <w:lang w:eastAsia="it-IT"/>
              </w:rPr>
              <w:t>Classificazione spesa</w:t>
            </w:r>
          </w:p>
          <w:p w:rsidR="002A4884" w:rsidRPr="00F3489B" w:rsidRDefault="002A4884" w:rsidP="002A4884">
            <w:pPr>
              <w:spacing w:after="0" w:line="240" w:lineRule="auto"/>
              <w:jc w:val="center"/>
              <w:rPr>
                <w:rFonts w:ascii="DecimaWE Rg" w:eastAsia="Times New Roman" w:hAnsi="DecimaWE Rg"/>
                <w:b/>
                <w:bCs/>
                <w:color w:val="000000"/>
                <w:sz w:val="20"/>
                <w:szCs w:val="28"/>
                <w:lang w:eastAsia="it-IT"/>
              </w:rPr>
            </w:pPr>
            <w:r w:rsidRPr="00F3489B">
              <w:rPr>
                <w:rFonts w:ascii="DecimaWE Rg" w:eastAsia="Times New Roman" w:hAnsi="DecimaWE Rg"/>
                <w:b/>
                <w:bCs/>
                <w:color w:val="000000"/>
                <w:sz w:val="20"/>
                <w:szCs w:val="28"/>
                <w:lang w:eastAsia="it-IT"/>
              </w:rPr>
              <w:t>II livello</w:t>
            </w:r>
          </w:p>
        </w:tc>
      </w:tr>
      <w:tr w:rsidR="00AB2B2D" w:rsidRPr="007C6AC4" w:rsidTr="001F539A">
        <w:trPr>
          <w:trHeight w:val="300"/>
        </w:trPr>
        <w:tc>
          <w:tcPr>
            <w:tcW w:w="2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B2D" w:rsidRPr="00F3489B" w:rsidRDefault="00F3489B" w:rsidP="00F3489B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  <w:r w:rsidRPr="00F3489B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>A - che contribuiscono a risparmiare energia o a ridurre l’impatto sull’ambiente, incluso il trattamento dei rifiuti</w:t>
            </w:r>
          </w:p>
        </w:tc>
        <w:tc>
          <w:tcPr>
            <w:tcW w:w="6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B2D" w:rsidRPr="00F3489B" w:rsidRDefault="00AB2B2D" w:rsidP="00AB2B2D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  <w:r w:rsidRPr="00F3489B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 xml:space="preserve">A1) </w:t>
            </w:r>
            <w:r w:rsidR="00F3489B" w:rsidRPr="00F3489B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>acquisto e installazione di sistemi di raccolta, stoccaggio e smaltimento dei rifiuti</w:t>
            </w:r>
          </w:p>
        </w:tc>
      </w:tr>
      <w:tr w:rsidR="00AB2B2D" w:rsidRPr="007C6AC4" w:rsidTr="001F539A">
        <w:trPr>
          <w:trHeight w:val="510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2B2D" w:rsidRPr="00F3489B" w:rsidRDefault="00AB2B2D" w:rsidP="00AB2B2D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B2D" w:rsidRPr="00F3489B" w:rsidRDefault="00AB2B2D" w:rsidP="00AB2B2D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  <w:r w:rsidRPr="00F3489B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 xml:space="preserve">A2) </w:t>
            </w:r>
            <w:r w:rsidR="00F3489B" w:rsidRPr="00F3489B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>generatori elettrici ad elevata efficienza energetica (gruppi elettrogeni di emergenza), ad esempio alimentati a idrogeno o a gas naturale</w:t>
            </w:r>
          </w:p>
        </w:tc>
      </w:tr>
      <w:tr w:rsidR="00AB2B2D" w:rsidRPr="007C6AC4" w:rsidTr="001F539A">
        <w:trPr>
          <w:trHeight w:val="510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2B2D" w:rsidRPr="00F3489B" w:rsidRDefault="00AB2B2D" w:rsidP="00AB2B2D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B2D" w:rsidRPr="003B2672" w:rsidRDefault="00AB2B2D" w:rsidP="00AB2B2D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  <w:r w:rsidRPr="003B2672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 xml:space="preserve">A3) </w:t>
            </w:r>
            <w:r w:rsidR="00F3489B" w:rsidRPr="003B2672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>investimenti per la costruzione/ammodernamento di impianti ad energia rinnovabile, quali pannelli solari; econometri, sistemi di gestione dell’energia e sistemi di monitoraggio</w:t>
            </w:r>
          </w:p>
        </w:tc>
      </w:tr>
      <w:tr w:rsidR="00D83ED6" w:rsidRPr="007C6AC4" w:rsidTr="00745DE7">
        <w:trPr>
          <w:trHeight w:val="182"/>
        </w:trPr>
        <w:tc>
          <w:tcPr>
            <w:tcW w:w="29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ED6" w:rsidRPr="007C6AC4" w:rsidRDefault="00D83ED6" w:rsidP="00D83ED6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highlight w:val="yellow"/>
                <w:lang w:eastAsia="it-IT"/>
              </w:rPr>
            </w:pPr>
            <w:r w:rsidRPr="00F3489B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>B - che migliorano la sicurezza, l’igiene, la salute e le condizioni di lavoro</w:t>
            </w:r>
          </w:p>
        </w:tc>
        <w:tc>
          <w:tcPr>
            <w:tcW w:w="6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ED6" w:rsidRPr="003B2672" w:rsidRDefault="00D83ED6" w:rsidP="00F3489B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  <w:r w:rsidRPr="003B2672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>B1) segnali di soccorso e di emergenza</w:t>
            </w:r>
          </w:p>
        </w:tc>
      </w:tr>
      <w:tr w:rsidR="00D83ED6" w:rsidRPr="007C6AC4" w:rsidTr="0059106F">
        <w:trPr>
          <w:trHeight w:val="510"/>
        </w:trPr>
        <w:tc>
          <w:tcPr>
            <w:tcW w:w="2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ED6" w:rsidRPr="00F3489B" w:rsidRDefault="00D83ED6" w:rsidP="00AB2B2D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ED6" w:rsidRPr="003B2672" w:rsidRDefault="00D83ED6" w:rsidP="00F3489B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  <w:r w:rsidRPr="003B2672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>B2) apparecchiature antincendio quali allarmi, estintori, coperte antifiamma, rivelatori d'incendio e di fumo, respiratori, porte tagliafuoco</w:t>
            </w:r>
          </w:p>
        </w:tc>
      </w:tr>
      <w:tr w:rsidR="00D83ED6" w:rsidRPr="007C6AC4" w:rsidTr="00513296">
        <w:trPr>
          <w:trHeight w:val="194"/>
        </w:trPr>
        <w:tc>
          <w:tcPr>
            <w:tcW w:w="2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ED6" w:rsidRPr="00F3489B" w:rsidRDefault="00D83ED6" w:rsidP="00AB2B2D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ED6" w:rsidRPr="003B2672" w:rsidRDefault="00D83ED6" w:rsidP="00F3489B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  <w:r w:rsidRPr="003B2672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>B3) rilevatori di gas e sistemi d'allarme antigas</w:t>
            </w:r>
          </w:p>
        </w:tc>
      </w:tr>
      <w:tr w:rsidR="00D83ED6" w:rsidRPr="007C6AC4" w:rsidTr="000C0325">
        <w:trPr>
          <w:trHeight w:val="275"/>
        </w:trPr>
        <w:tc>
          <w:tcPr>
            <w:tcW w:w="2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ED6" w:rsidRPr="00F3489B" w:rsidRDefault="00D83ED6" w:rsidP="00AB2B2D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ED6" w:rsidRPr="003B2672" w:rsidRDefault="00D83ED6" w:rsidP="00F3489B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  <w:r w:rsidRPr="003B2672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>B4) protezioni sulle macchine, quali verricelli, ecc.</w:t>
            </w:r>
          </w:p>
        </w:tc>
      </w:tr>
      <w:tr w:rsidR="00D83ED6" w:rsidRPr="007C6AC4" w:rsidTr="000C0325">
        <w:trPr>
          <w:trHeight w:val="278"/>
        </w:trPr>
        <w:tc>
          <w:tcPr>
            <w:tcW w:w="2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ED6" w:rsidRPr="00F3489B" w:rsidRDefault="00D83ED6" w:rsidP="00AB2B2D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ED6" w:rsidRPr="003B2672" w:rsidRDefault="00D83ED6" w:rsidP="00F3489B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  <w:r w:rsidRPr="003B2672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>B5) illuminazione di emergenza</w:t>
            </w:r>
          </w:p>
        </w:tc>
      </w:tr>
      <w:tr w:rsidR="00D83ED6" w:rsidRPr="007C6AC4" w:rsidTr="000C0325">
        <w:trPr>
          <w:trHeight w:val="127"/>
        </w:trPr>
        <w:tc>
          <w:tcPr>
            <w:tcW w:w="2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ED6" w:rsidRPr="00F3489B" w:rsidRDefault="00D83ED6" w:rsidP="00AB2B2D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ED6" w:rsidRPr="003B2672" w:rsidRDefault="00D83ED6" w:rsidP="00F3489B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  <w:r w:rsidRPr="003B2672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>B6) videocamere e schermi/monitor e allarmi di sicurezza, videosorveglianza</w:t>
            </w:r>
          </w:p>
        </w:tc>
      </w:tr>
      <w:tr w:rsidR="00D83ED6" w:rsidRPr="007C6AC4" w:rsidTr="000C0325">
        <w:trPr>
          <w:trHeight w:val="300"/>
        </w:trPr>
        <w:tc>
          <w:tcPr>
            <w:tcW w:w="2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ED6" w:rsidRPr="00F3489B" w:rsidRDefault="00D83ED6" w:rsidP="00AB2B2D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ED6" w:rsidRPr="003B2672" w:rsidRDefault="00D83ED6" w:rsidP="00F3489B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  <w:r w:rsidRPr="003B2672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>B7) acquisto e installazione di cassette di pronto soccorso</w:t>
            </w:r>
          </w:p>
        </w:tc>
      </w:tr>
      <w:tr w:rsidR="00D83ED6" w:rsidRPr="007C6AC4" w:rsidTr="000C0325">
        <w:trPr>
          <w:trHeight w:val="263"/>
        </w:trPr>
        <w:tc>
          <w:tcPr>
            <w:tcW w:w="2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ED6" w:rsidRPr="00F3489B" w:rsidRDefault="00D83ED6" w:rsidP="00AB2B2D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ED6" w:rsidRPr="003B2672" w:rsidRDefault="00D83ED6" w:rsidP="00F3489B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  <w:r w:rsidRPr="003B2672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>B8) acquisto di medicinali e dispositivi per cure urgenti</w:t>
            </w:r>
          </w:p>
        </w:tc>
      </w:tr>
      <w:tr w:rsidR="00D83ED6" w:rsidRPr="007C6AC4" w:rsidTr="0059106F">
        <w:trPr>
          <w:trHeight w:val="510"/>
        </w:trPr>
        <w:tc>
          <w:tcPr>
            <w:tcW w:w="2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ED6" w:rsidRPr="00F3489B" w:rsidRDefault="00D83ED6" w:rsidP="00AB2B2D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ED6" w:rsidRPr="003B2672" w:rsidRDefault="00D83ED6" w:rsidP="00F3489B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  <w:r w:rsidRPr="003B2672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>B9) dotazione di guide e manuali per migliorare la salute sui luoghi di lavoro, compresi software derivanti da analisi e valutazione dei rischi per individuare i rischi che incombono sui luoghi di lavoro al fine di adottare misure atte a prevenirli o attenuarli</w:t>
            </w:r>
          </w:p>
        </w:tc>
      </w:tr>
      <w:tr w:rsidR="00D83ED6" w:rsidRPr="007C6AC4" w:rsidTr="000C0325">
        <w:trPr>
          <w:trHeight w:val="262"/>
        </w:trPr>
        <w:tc>
          <w:tcPr>
            <w:tcW w:w="2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ED6" w:rsidRPr="00F3489B" w:rsidRDefault="00D83ED6" w:rsidP="00AB2B2D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ED6" w:rsidRPr="003B2672" w:rsidRDefault="00D83ED6" w:rsidP="00F3489B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  <w:r w:rsidRPr="003B2672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>B10) servizi igienico-sanitari quali gabinetti e lavabi</w:t>
            </w:r>
          </w:p>
        </w:tc>
      </w:tr>
      <w:tr w:rsidR="00D83ED6" w:rsidRPr="007C6AC4" w:rsidTr="0059106F">
        <w:trPr>
          <w:trHeight w:val="510"/>
        </w:trPr>
        <w:tc>
          <w:tcPr>
            <w:tcW w:w="2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ED6" w:rsidRPr="00F3489B" w:rsidRDefault="00D83ED6" w:rsidP="00AB2B2D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ED6" w:rsidRPr="003B2672" w:rsidRDefault="00D83ED6" w:rsidP="00F3489B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  <w:r w:rsidRPr="003B2672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>B11) attrezzi per la pulizia ai fini del mantenimento delle condizioni igieniche nei luoghi di lavoro</w:t>
            </w:r>
          </w:p>
        </w:tc>
      </w:tr>
      <w:tr w:rsidR="00D83ED6" w:rsidRPr="007C6AC4" w:rsidTr="000C0325">
        <w:trPr>
          <w:trHeight w:val="174"/>
        </w:trPr>
        <w:tc>
          <w:tcPr>
            <w:tcW w:w="2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ED6" w:rsidRPr="00F3489B" w:rsidRDefault="00D83ED6" w:rsidP="00AB2B2D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ED6" w:rsidRPr="003B2672" w:rsidRDefault="00D83ED6" w:rsidP="00F3489B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  <w:r w:rsidRPr="003B2672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>B12) attrezzature per diminuire la movimentazione manuale di carichi pesanti</w:t>
            </w:r>
          </w:p>
        </w:tc>
      </w:tr>
      <w:tr w:rsidR="00D83ED6" w:rsidRPr="007C6AC4" w:rsidTr="000C0325">
        <w:trPr>
          <w:trHeight w:val="206"/>
        </w:trPr>
        <w:tc>
          <w:tcPr>
            <w:tcW w:w="2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ED6" w:rsidRPr="00F3489B" w:rsidRDefault="00D83ED6" w:rsidP="00AB2B2D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ED6" w:rsidRPr="003B2672" w:rsidRDefault="00D83ED6" w:rsidP="00F3489B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  <w:r w:rsidRPr="003B2672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>B13) vernici antiscivolo e stuoie di gomma antiscivolo</w:t>
            </w:r>
          </w:p>
        </w:tc>
      </w:tr>
      <w:tr w:rsidR="00D83ED6" w:rsidRPr="007C6AC4" w:rsidTr="00513296">
        <w:trPr>
          <w:trHeight w:val="262"/>
        </w:trPr>
        <w:tc>
          <w:tcPr>
            <w:tcW w:w="2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ED6" w:rsidRPr="00F3489B" w:rsidRDefault="00D83ED6" w:rsidP="00AB2B2D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ED6" w:rsidRPr="003B2672" w:rsidRDefault="00D83ED6" w:rsidP="00F3489B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  <w:r w:rsidRPr="003B2672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>B14) dispositivi di protezione acustica e termica e apparecchi di ausilio alla ventilazione</w:t>
            </w:r>
          </w:p>
        </w:tc>
      </w:tr>
      <w:tr w:rsidR="00D83ED6" w:rsidRPr="007C6AC4" w:rsidTr="0059106F">
        <w:trPr>
          <w:trHeight w:val="510"/>
        </w:trPr>
        <w:tc>
          <w:tcPr>
            <w:tcW w:w="292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83ED6" w:rsidRPr="00F3489B" w:rsidRDefault="00D83ED6" w:rsidP="00AB2B2D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ED6" w:rsidRPr="003B2672" w:rsidRDefault="00D83ED6" w:rsidP="00F3489B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  <w:r w:rsidRPr="003B2672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>B15) abiti da lavoro e equipaggiamento di sicurezza, quali calzature di sicurezza impermeabili, dispositivi di protezione degli occhi e dell'apparato respiratorio, guanti protettivi e caschi, o equipaggiamento protettivo anti-caduta</w:t>
            </w:r>
          </w:p>
        </w:tc>
      </w:tr>
      <w:tr w:rsidR="000A7B4E" w:rsidRPr="007C6AC4" w:rsidTr="00262CD6">
        <w:trPr>
          <w:trHeight w:val="288"/>
        </w:trPr>
        <w:tc>
          <w:tcPr>
            <w:tcW w:w="2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B4E" w:rsidRPr="007C6AC4" w:rsidRDefault="000A7B4E" w:rsidP="00AB2B2D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highlight w:val="yellow"/>
                <w:lang w:eastAsia="it-IT"/>
              </w:rPr>
            </w:pPr>
            <w:r w:rsidRPr="000A7B4E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lastRenderedPageBreak/>
              <w:t>C - che sostengono la trasformazione delle catture di pesce commerciale che non possono essere destinate al consumo umano</w:t>
            </w:r>
          </w:p>
        </w:tc>
        <w:tc>
          <w:tcPr>
            <w:tcW w:w="6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B4E" w:rsidRPr="00262CD6" w:rsidRDefault="000A7B4E" w:rsidP="00AB2B2D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  <w:r w:rsidRPr="00262CD6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 xml:space="preserve">C1) macchinari ed attrezzature per la trasformazione </w:t>
            </w:r>
            <w:r w:rsidR="007545DF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 xml:space="preserve">e commercializzazione </w:t>
            </w:r>
            <w:r w:rsidRPr="00262CD6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>dei prodotti e dei sottoprodotti</w:t>
            </w:r>
          </w:p>
        </w:tc>
      </w:tr>
      <w:tr w:rsidR="000A7B4E" w:rsidRPr="007C6AC4" w:rsidTr="00F512E2">
        <w:trPr>
          <w:trHeight w:val="264"/>
        </w:trPr>
        <w:tc>
          <w:tcPr>
            <w:tcW w:w="2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7B4E" w:rsidRPr="007C6AC4" w:rsidRDefault="000A7B4E" w:rsidP="00AB2B2D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6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B4E" w:rsidRPr="00262CD6" w:rsidRDefault="000A7B4E" w:rsidP="00AB2B2D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  <w:r w:rsidRPr="00262CD6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>C2) macchinari ed attrezzature per l'etichettatura</w:t>
            </w:r>
          </w:p>
        </w:tc>
      </w:tr>
      <w:tr w:rsidR="000A7B4E" w:rsidRPr="007C6AC4" w:rsidTr="00F512E2">
        <w:trPr>
          <w:trHeight w:val="284"/>
        </w:trPr>
        <w:tc>
          <w:tcPr>
            <w:tcW w:w="2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7B4E" w:rsidRPr="007C6AC4" w:rsidRDefault="000A7B4E" w:rsidP="00AB2B2D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6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B4E" w:rsidRPr="00262CD6" w:rsidRDefault="000A7B4E" w:rsidP="00AB2B2D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  <w:r w:rsidRPr="00262CD6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>C3) adeguamento e ampliamento dei fabbricati esistenti</w:t>
            </w:r>
          </w:p>
        </w:tc>
      </w:tr>
      <w:tr w:rsidR="000A7B4E" w:rsidRPr="007C6AC4" w:rsidTr="00FA577F">
        <w:trPr>
          <w:trHeight w:val="300"/>
        </w:trPr>
        <w:tc>
          <w:tcPr>
            <w:tcW w:w="2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7B4E" w:rsidRPr="007C6AC4" w:rsidRDefault="000A7B4E" w:rsidP="00AB2B2D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6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B4E" w:rsidRPr="00262CD6" w:rsidRDefault="000A7B4E" w:rsidP="00AB2B2D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  <w:r w:rsidRPr="00262CD6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>C4) nuova costruzione limitatamente all’area del sito produttivo</w:t>
            </w:r>
          </w:p>
        </w:tc>
      </w:tr>
      <w:tr w:rsidR="000A7B4E" w:rsidRPr="007C6AC4" w:rsidTr="00FA577F">
        <w:trPr>
          <w:trHeight w:val="300"/>
        </w:trPr>
        <w:tc>
          <w:tcPr>
            <w:tcW w:w="2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7B4E" w:rsidRPr="007C6AC4" w:rsidRDefault="000A7B4E" w:rsidP="00AB2B2D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6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B4E" w:rsidRPr="00262CD6" w:rsidRDefault="000A7B4E" w:rsidP="00AB2B2D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  <w:r w:rsidRPr="00262CD6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>C5)</w:t>
            </w:r>
            <w:r w:rsidRPr="00262CD6">
              <w:t xml:space="preserve"> </w:t>
            </w:r>
            <w:r w:rsidRPr="00262CD6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>servizi e tecnologie per l’ingegnerizzazione di software/hardware</w:t>
            </w:r>
          </w:p>
        </w:tc>
      </w:tr>
      <w:tr w:rsidR="000A7B4E" w:rsidRPr="007C6AC4" w:rsidTr="00FA577F">
        <w:trPr>
          <w:trHeight w:val="300"/>
        </w:trPr>
        <w:tc>
          <w:tcPr>
            <w:tcW w:w="2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B4E" w:rsidRPr="007C6AC4" w:rsidRDefault="000A7B4E" w:rsidP="00AB2B2D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6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B4E" w:rsidRPr="00262CD6" w:rsidRDefault="000A7B4E" w:rsidP="00AB2B2D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  <w:r w:rsidRPr="00262CD6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 xml:space="preserve">C6) </w:t>
            </w:r>
            <w:r w:rsidR="00747B96" w:rsidRPr="00747B96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>per la fornitura e la posa in opera di cassoni coibentati e spese strettamente inerenti l’acquisto dei sistemi di refrigeramento delle celle frigorifere per i prodotti ittici, per i quali non si può interrompere la catena del freddo, esclusa la motrice (autoveicolo e autocarro) oppure l’acquisto di un automezzo dotato di coibentazione e gruppo frigorifero, non amovibili dalla motrice</w:t>
            </w:r>
          </w:p>
        </w:tc>
      </w:tr>
      <w:tr w:rsidR="00F96F2F" w:rsidRPr="007C6AC4" w:rsidTr="00F12038">
        <w:trPr>
          <w:trHeight w:val="284"/>
        </w:trPr>
        <w:tc>
          <w:tcPr>
            <w:tcW w:w="2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F2F" w:rsidRPr="007C6AC4" w:rsidRDefault="00F96F2F" w:rsidP="00AB2B2D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highlight w:val="yellow"/>
                <w:lang w:eastAsia="it-IT"/>
              </w:rPr>
            </w:pPr>
            <w:r w:rsidRPr="00F96F2F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>D - che si riferiscono alla trasformazione dei sottoprodotti risultanti dalle trasformazioni principali</w:t>
            </w:r>
          </w:p>
        </w:tc>
        <w:tc>
          <w:tcPr>
            <w:tcW w:w="6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F2F" w:rsidRPr="00262CD6" w:rsidRDefault="00F96F2F" w:rsidP="005676B2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  <w:r w:rsidRPr="00262CD6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 xml:space="preserve">D1) macchinari ed attrezzature per la trasformazione </w:t>
            </w:r>
            <w:r w:rsidR="007545DF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 xml:space="preserve">e commercializzazione </w:t>
            </w:r>
            <w:r w:rsidRPr="00262CD6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>dei prodotti e dei sottoprodotti</w:t>
            </w:r>
          </w:p>
        </w:tc>
      </w:tr>
      <w:tr w:rsidR="00F96F2F" w:rsidRPr="007C6AC4" w:rsidTr="00F12038">
        <w:trPr>
          <w:trHeight w:val="274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F2F" w:rsidRPr="00F96F2F" w:rsidRDefault="00F96F2F" w:rsidP="00AB2B2D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F2F" w:rsidRPr="00262CD6" w:rsidRDefault="00F96F2F" w:rsidP="005676B2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  <w:r w:rsidRPr="00262CD6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>D2) macchinari ed attrezzature per l'etichettatura</w:t>
            </w:r>
          </w:p>
        </w:tc>
      </w:tr>
      <w:tr w:rsidR="00F96F2F" w:rsidRPr="007C6AC4" w:rsidTr="00F12038">
        <w:trPr>
          <w:trHeight w:val="278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F2F" w:rsidRPr="00F96F2F" w:rsidRDefault="00F96F2F" w:rsidP="00AB2B2D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F2F" w:rsidRPr="00262CD6" w:rsidRDefault="00F96F2F" w:rsidP="005676B2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  <w:r w:rsidRPr="00262CD6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>D3) adeguamento e ampliamento dei fabbricati esistenti</w:t>
            </w:r>
          </w:p>
        </w:tc>
      </w:tr>
      <w:tr w:rsidR="00F96F2F" w:rsidRPr="007C6AC4" w:rsidTr="00F12038">
        <w:trPr>
          <w:trHeight w:val="268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F2F" w:rsidRPr="00F96F2F" w:rsidRDefault="00F96F2F" w:rsidP="00AB2B2D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F2F" w:rsidRPr="00262CD6" w:rsidRDefault="00F96F2F" w:rsidP="005676B2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  <w:r w:rsidRPr="00262CD6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>D4) nuova costruzione limitatamente all’area del sito produttivo</w:t>
            </w:r>
          </w:p>
        </w:tc>
      </w:tr>
      <w:tr w:rsidR="00F96F2F" w:rsidRPr="007C6AC4" w:rsidTr="00F12038">
        <w:trPr>
          <w:trHeight w:val="272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F2F" w:rsidRPr="00F96F2F" w:rsidRDefault="00F96F2F" w:rsidP="00AB2B2D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F2F" w:rsidRPr="00262CD6" w:rsidRDefault="00F96F2F" w:rsidP="005676B2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  <w:r w:rsidRPr="00262CD6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>D5)</w:t>
            </w:r>
            <w:r w:rsidRPr="00F12038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262CD6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>servizi e tecnologie per l’ingegnerizzazione di software/hardware</w:t>
            </w:r>
          </w:p>
        </w:tc>
      </w:tr>
      <w:tr w:rsidR="00F96F2F" w:rsidRPr="007C6AC4" w:rsidTr="00F96F2F">
        <w:trPr>
          <w:trHeight w:val="510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F2F" w:rsidRPr="007C6AC4" w:rsidRDefault="00F96F2F" w:rsidP="00AB2B2D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6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F2F" w:rsidRPr="00262CD6" w:rsidRDefault="00F96F2F" w:rsidP="005676B2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  <w:r w:rsidRPr="00262CD6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 xml:space="preserve">D6) </w:t>
            </w:r>
            <w:r w:rsidR="00747B96" w:rsidRPr="00747B96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>per la fornitura e la posa in opera di cassoni coibentati e spese strettamente inerenti l’acquisto dei sistemi di refrigeramento delle celle frigorifere per i prodotti ittici, per i quali non si può interrompere la catena del freddo, esclusa la motrice (autoveicolo e autocarro) oppure l’acquisto di un automezzo dotato di coibentazione e gruppo frigorifero, non amovibili dalla motrice</w:t>
            </w:r>
          </w:p>
        </w:tc>
      </w:tr>
      <w:tr w:rsidR="00F96F2F" w:rsidRPr="007C6AC4" w:rsidTr="00F96F2F">
        <w:trPr>
          <w:trHeight w:val="300"/>
        </w:trPr>
        <w:tc>
          <w:tcPr>
            <w:tcW w:w="29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F2F" w:rsidRPr="007C6AC4" w:rsidRDefault="00F96F2F" w:rsidP="00F96F2F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highlight w:val="yellow"/>
                <w:lang w:eastAsia="it-IT"/>
              </w:rPr>
            </w:pPr>
            <w:r w:rsidRPr="00F96F2F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>E - che si riferiscono alla trasformazione dei prodotti dell’acquacoltura biologica conformemente agli artt. 6 e 7 del regolamento (CE) n. 834/2007</w:t>
            </w:r>
          </w:p>
        </w:tc>
        <w:tc>
          <w:tcPr>
            <w:tcW w:w="6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F2F" w:rsidRPr="00262CD6" w:rsidRDefault="006C5FDF" w:rsidP="005676B2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  <w:r w:rsidRPr="00262CD6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>E</w:t>
            </w:r>
            <w:r w:rsidR="00F96F2F" w:rsidRPr="00262CD6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 xml:space="preserve">1) macchinari ed attrezzature per la trasformazione </w:t>
            </w:r>
            <w:r w:rsidR="007545DF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 xml:space="preserve">e commercializzazione </w:t>
            </w:r>
            <w:r w:rsidR="00F96F2F" w:rsidRPr="00262CD6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>dei prodotti e dei sottoprodotti</w:t>
            </w:r>
          </w:p>
        </w:tc>
      </w:tr>
      <w:tr w:rsidR="00F96F2F" w:rsidRPr="007C6AC4" w:rsidTr="00292A43">
        <w:trPr>
          <w:trHeight w:val="300"/>
        </w:trPr>
        <w:tc>
          <w:tcPr>
            <w:tcW w:w="2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F2F" w:rsidRPr="007C6AC4" w:rsidRDefault="00F96F2F" w:rsidP="00AB2B2D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6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F2F" w:rsidRPr="00262CD6" w:rsidRDefault="006C5FDF" w:rsidP="005676B2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  <w:r w:rsidRPr="00262CD6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>E</w:t>
            </w:r>
            <w:r w:rsidR="00F96F2F" w:rsidRPr="00262CD6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>2) macchinari ed attrezzature per l'etichettatura</w:t>
            </w:r>
          </w:p>
        </w:tc>
      </w:tr>
      <w:tr w:rsidR="00F96F2F" w:rsidRPr="007C6AC4" w:rsidTr="00292A43">
        <w:trPr>
          <w:trHeight w:val="300"/>
        </w:trPr>
        <w:tc>
          <w:tcPr>
            <w:tcW w:w="2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F2F" w:rsidRPr="007C6AC4" w:rsidRDefault="00F96F2F" w:rsidP="00AB2B2D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6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F2F" w:rsidRPr="00262CD6" w:rsidRDefault="00B07C17" w:rsidP="005676B2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  <w:r w:rsidRPr="00262CD6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>E</w:t>
            </w:r>
            <w:r w:rsidR="00F96F2F" w:rsidRPr="00262CD6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>3) adeguamento e ampliamento dei fabbricati esistenti</w:t>
            </w:r>
          </w:p>
        </w:tc>
      </w:tr>
      <w:tr w:rsidR="00F96F2F" w:rsidRPr="007C6AC4" w:rsidTr="00292A43">
        <w:trPr>
          <w:trHeight w:val="300"/>
        </w:trPr>
        <w:tc>
          <w:tcPr>
            <w:tcW w:w="2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F2F" w:rsidRPr="007C6AC4" w:rsidRDefault="00F96F2F" w:rsidP="00AB2B2D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6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F2F" w:rsidRPr="00262CD6" w:rsidRDefault="00B07C17" w:rsidP="005676B2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  <w:r w:rsidRPr="00262CD6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>E</w:t>
            </w:r>
            <w:r w:rsidR="00F96F2F" w:rsidRPr="00262CD6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>4) nuova costruzione limitatamente all’area del sito produttivo</w:t>
            </w:r>
          </w:p>
        </w:tc>
      </w:tr>
      <w:tr w:rsidR="00F96F2F" w:rsidRPr="007C6AC4" w:rsidTr="00292A43">
        <w:trPr>
          <w:trHeight w:val="300"/>
        </w:trPr>
        <w:tc>
          <w:tcPr>
            <w:tcW w:w="2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F2F" w:rsidRPr="007C6AC4" w:rsidRDefault="00F96F2F" w:rsidP="00AB2B2D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6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F2F" w:rsidRPr="00262CD6" w:rsidRDefault="00B07C17" w:rsidP="005676B2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  <w:r w:rsidRPr="00262CD6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>E</w:t>
            </w:r>
            <w:r w:rsidR="00F96F2F" w:rsidRPr="00262CD6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>5)</w:t>
            </w:r>
            <w:r w:rsidR="00F96F2F" w:rsidRPr="00262CD6">
              <w:t xml:space="preserve"> </w:t>
            </w:r>
            <w:r w:rsidR="00F96F2F" w:rsidRPr="00262CD6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>servizi e tecnologie per l’ingegnerizzazione di software/hardware</w:t>
            </w:r>
          </w:p>
        </w:tc>
      </w:tr>
      <w:tr w:rsidR="00F96F2F" w:rsidRPr="007C6AC4" w:rsidTr="00292A43">
        <w:trPr>
          <w:trHeight w:val="300"/>
        </w:trPr>
        <w:tc>
          <w:tcPr>
            <w:tcW w:w="2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F2F" w:rsidRPr="007C6AC4" w:rsidRDefault="00F96F2F" w:rsidP="00AB2B2D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6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6F2F" w:rsidRPr="00262CD6" w:rsidRDefault="00B07C17" w:rsidP="005676B2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  <w:r w:rsidRPr="00262CD6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>E</w:t>
            </w:r>
            <w:r w:rsidR="00F96F2F" w:rsidRPr="00262CD6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 xml:space="preserve">6) </w:t>
            </w:r>
            <w:r w:rsidR="00747B96" w:rsidRPr="00747B96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>per la fornitura e la posa in opera di cassoni coibentati e spese strettamente inerenti l’acquisto dei sistemi di refrigeramento delle celle frigorifere per i prodotti ittici, per i quali non si può interrompere la catena del freddo, esclusa la motrice (autoveicolo e autocarro) oppure l’acquisto di un automezzo dotato di coibentazione e gruppo frigorifero, non amovibili dalla motrice</w:t>
            </w:r>
          </w:p>
        </w:tc>
      </w:tr>
      <w:tr w:rsidR="00E2128A" w:rsidRPr="007C6AC4" w:rsidTr="0001398E">
        <w:trPr>
          <w:trHeight w:val="300"/>
        </w:trPr>
        <w:tc>
          <w:tcPr>
            <w:tcW w:w="29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28A" w:rsidRPr="007C6AC4" w:rsidRDefault="00E2128A" w:rsidP="00AB2B2D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highlight w:val="yellow"/>
                <w:lang w:eastAsia="it-IT"/>
              </w:rPr>
            </w:pPr>
            <w:r w:rsidRPr="00E2128A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>F - che portano a prodotti nuovi o migliorati, a processi nuovi o migliorati o a sistemi di gestione e di organizzazione nuovi o migliorati</w:t>
            </w:r>
          </w:p>
        </w:tc>
        <w:tc>
          <w:tcPr>
            <w:tcW w:w="6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128A" w:rsidRPr="00262CD6" w:rsidRDefault="00E2128A" w:rsidP="00AB2B2D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  <w:r w:rsidRPr="00262CD6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 xml:space="preserve">F1) macchinari ed attrezzature per la trasformazione </w:t>
            </w:r>
            <w:r w:rsidR="007545DF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 xml:space="preserve">e commercializzazione </w:t>
            </w:r>
            <w:r w:rsidRPr="00262CD6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>dei prodotti e dei sottoprodotti</w:t>
            </w:r>
          </w:p>
        </w:tc>
      </w:tr>
      <w:tr w:rsidR="00E2128A" w:rsidRPr="007C6AC4" w:rsidTr="0001398E">
        <w:trPr>
          <w:trHeight w:val="300"/>
        </w:trPr>
        <w:tc>
          <w:tcPr>
            <w:tcW w:w="2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28A" w:rsidRPr="007C6AC4" w:rsidRDefault="00E2128A" w:rsidP="00AB2B2D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6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128A" w:rsidRPr="00262CD6" w:rsidRDefault="00E2128A" w:rsidP="00AB2B2D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  <w:r w:rsidRPr="00262CD6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>F2) macchinari ed attrezzature per l'etichettatura</w:t>
            </w:r>
          </w:p>
        </w:tc>
      </w:tr>
      <w:tr w:rsidR="00E2128A" w:rsidRPr="007C6AC4" w:rsidTr="0001398E">
        <w:trPr>
          <w:trHeight w:val="300"/>
        </w:trPr>
        <w:tc>
          <w:tcPr>
            <w:tcW w:w="2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28A" w:rsidRPr="007C6AC4" w:rsidRDefault="00E2128A" w:rsidP="00AB2B2D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6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128A" w:rsidRPr="00262CD6" w:rsidRDefault="00E2128A" w:rsidP="00AB2B2D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  <w:r w:rsidRPr="00262CD6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>F3) adeguamento e ampliamento dei fabbricati esistenti</w:t>
            </w:r>
          </w:p>
        </w:tc>
      </w:tr>
      <w:tr w:rsidR="00E2128A" w:rsidRPr="007C6AC4" w:rsidTr="0001398E">
        <w:trPr>
          <w:trHeight w:val="300"/>
        </w:trPr>
        <w:tc>
          <w:tcPr>
            <w:tcW w:w="2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28A" w:rsidRPr="007C6AC4" w:rsidRDefault="00E2128A" w:rsidP="00AB2B2D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6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128A" w:rsidRPr="00262CD6" w:rsidRDefault="00E2128A" w:rsidP="00AB2B2D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  <w:r w:rsidRPr="00262CD6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>F4) nuova costruzione limitatamente all’area del sito produttivo</w:t>
            </w:r>
          </w:p>
        </w:tc>
      </w:tr>
      <w:tr w:rsidR="00E2128A" w:rsidRPr="007C6AC4" w:rsidTr="0001398E">
        <w:trPr>
          <w:trHeight w:val="300"/>
        </w:trPr>
        <w:tc>
          <w:tcPr>
            <w:tcW w:w="2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28A" w:rsidRPr="007C6AC4" w:rsidRDefault="00E2128A" w:rsidP="00AB2B2D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6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128A" w:rsidRPr="00262CD6" w:rsidRDefault="00E2128A" w:rsidP="00AB2B2D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  <w:r w:rsidRPr="00262CD6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>F5) servizi e tecnologie per l’ingegnerizzazione di software/hardware</w:t>
            </w:r>
          </w:p>
        </w:tc>
      </w:tr>
      <w:tr w:rsidR="00E2128A" w:rsidRPr="007C6AC4" w:rsidTr="0001398E">
        <w:trPr>
          <w:trHeight w:val="300"/>
        </w:trPr>
        <w:tc>
          <w:tcPr>
            <w:tcW w:w="2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28A" w:rsidRPr="007C6AC4" w:rsidRDefault="00E2128A" w:rsidP="00AB2B2D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6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128A" w:rsidRPr="00262CD6" w:rsidRDefault="00E2128A" w:rsidP="00AB2B2D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  <w:r w:rsidRPr="00262CD6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>F6) spese per ottenimento di certificazioni di prodotto e di processo</w:t>
            </w:r>
          </w:p>
        </w:tc>
      </w:tr>
      <w:tr w:rsidR="00E2128A" w:rsidRPr="007C6AC4" w:rsidTr="0001398E">
        <w:trPr>
          <w:trHeight w:val="300"/>
        </w:trPr>
        <w:tc>
          <w:tcPr>
            <w:tcW w:w="2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28A" w:rsidRPr="007C6AC4" w:rsidRDefault="00E2128A" w:rsidP="00AB2B2D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6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128A" w:rsidRPr="00262CD6" w:rsidRDefault="00E2128A" w:rsidP="00AB2B2D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  <w:r w:rsidRPr="00262CD6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>F7) spese per campagne di comunicazione e azioni di brand management in grado di valorizzare e differenziare la qualità del prodotto ittico nazionale</w:t>
            </w:r>
          </w:p>
        </w:tc>
      </w:tr>
      <w:tr w:rsidR="00E2128A" w:rsidRPr="007C6AC4" w:rsidTr="0001398E">
        <w:trPr>
          <w:trHeight w:val="300"/>
        </w:trPr>
        <w:tc>
          <w:tcPr>
            <w:tcW w:w="2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28A" w:rsidRPr="007C6AC4" w:rsidRDefault="00E2128A" w:rsidP="00AB2B2D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6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2128A" w:rsidRPr="00262CD6" w:rsidRDefault="00E2128A" w:rsidP="00AB2B2D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  <w:r w:rsidRPr="00262CD6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 xml:space="preserve">F8) </w:t>
            </w:r>
            <w:r w:rsidR="00747B96" w:rsidRPr="00747B96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>per la fornitura e la posa in opera di cassoni coibentati e spese strettamente inerenti l’acquisto dei sistemi di refrigeramento delle celle frigorifere per i prodotti ittici, per i quali non si può interrompere la catena del freddo, esclusa la motrice (autoveicolo e autocarro) oppure l’acquisto di un automezzo dotato di coibentazione e gruppo frigorifero, non amovibili dalla motrice</w:t>
            </w:r>
          </w:p>
        </w:tc>
      </w:tr>
      <w:tr w:rsidR="00F96F2F" w:rsidRPr="007C6AC4" w:rsidTr="001F539A">
        <w:trPr>
          <w:trHeight w:val="300"/>
        </w:trPr>
        <w:tc>
          <w:tcPr>
            <w:tcW w:w="2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F2F" w:rsidRPr="007C6AC4" w:rsidRDefault="00F96F2F" w:rsidP="00AB2B2D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highlight w:val="yellow"/>
                <w:lang w:eastAsia="it-IT"/>
              </w:rPr>
            </w:pPr>
            <w:r w:rsidRPr="002D0FC6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>G) TERRENI</w:t>
            </w:r>
          </w:p>
        </w:tc>
        <w:tc>
          <w:tcPr>
            <w:tcW w:w="6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F2F" w:rsidRPr="002D0FC6" w:rsidRDefault="00F96F2F" w:rsidP="00AB2B2D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  <w:r w:rsidRPr="002D0FC6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 xml:space="preserve">G1) Terreni non edificati e di terreni edificati (limite 10%) </w:t>
            </w:r>
          </w:p>
        </w:tc>
      </w:tr>
      <w:tr w:rsidR="00F96F2F" w:rsidRPr="007C6AC4" w:rsidTr="00D46DC8">
        <w:trPr>
          <w:trHeight w:val="510"/>
        </w:trPr>
        <w:tc>
          <w:tcPr>
            <w:tcW w:w="2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F2F" w:rsidRPr="007C6AC4" w:rsidRDefault="00F96F2F" w:rsidP="00AB2B2D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6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F2F" w:rsidRPr="002D0FC6" w:rsidRDefault="00F96F2F" w:rsidP="00AB2B2D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  <w:r w:rsidRPr="002D0FC6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>G2) Terreni ricadenti in siti in stato di degrado e per quelli precedentemente adibiti a uso industriale che comprendono edifici (limite 15% )</w:t>
            </w:r>
          </w:p>
        </w:tc>
      </w:tr>
      <w:tr w:rsidR="00D46DC8" w:rsidRPr="007C6AC4" w:rsidTr="00B864A5">
        <w:trPr>
          <w:trHeight w:val="300"/>
        </w:trPr>
        <w:tc>
          <w:tcPr>
            <w:tcW w:w="2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DC8" w:rsidRPr="003B2672" w:rsidRDefault="00D46DC8" w:rsidP="00B864A5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  <w:r w:rsidRPr="003B2672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lastRenderedPageBreak/>
              <w:t>H) SPESE GENERALI</w:t>
            </w:r>
          </w:p>
        </w:tc>
        <w:tc>
          <w:tcPr>
            <w:tcW w:w="6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DC8" w:rsidRPr="003B2672" w:rsidRDefault="00D46DC8" w:rsidP="00AB2B2D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  <w:r w:rsidRPr="003B2672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>H1) spese per la tenuta del C/C appositamente aperto e dedicato all’operazione</w:t>
            </w:r>
          </w:p>
        </w:tc>
      </w:tr>
      <w:tr w:rsidR="00D46DC8" w:rsidRPr="007C6AC4" w:rsidTr="00A1048F">
        <w:trPr>
          <w:trHeight w:val="300"/>
        </w:trPr>
        <w:tc>
          <w:tcPr>
            <w:tcW w:w="2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DC8" w:rsidRPr="007C6AC4" w:rsidRDefault="00D46DC8" w:rsidP="00AB2B2D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6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DC8" w:rsidRPr="003B2672" w:rsidRDefault="00D46DC8" w:rsidP="00AB2B2D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  <w:r w:rsidRPr="003B2672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>H2) le spese per consulenza tecnica e finanziaria, le spese per consulenze legali, le parcelle notarili e le spese relative a perizie tecniche o finanziarie (e progettazione), nonché le spese per contabilità o audit, se direttamente connesse all’operazione cofinanziata e necessarie per la sua preparazione o realizzazione;</w:t>
            </w:r>
          </w:p>
        </w:tc>
      </w:tr>
      <w:tr w:rsidR="00D46DC8" w:rsidRPr="007C6AC4" w:rsidTr="00A1048F">
        <w:trPr>
          <w:trHeight w:val="300"/>
        </w:trPr>
        <w:tc>
          <w:tcPr>
            <w:tcW w:w="29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DC8" w:rsidRPr="007C6AC4" w:rsidRDefault="00D46DC8" w:rsidP="00AB2B2D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6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DC8" w:rsidRPr="003B2672" w:rsidRDefault="00D46DC8" w:rsidP="00AB2B2D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  <w:r w:rsidRPr="003B2672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>H3) le spese per garanzie fideiussorie, se tali garanzie sono previste dalle normative vigenti</w:t>
            </w:r>
          </w:p>
        </w:tc>
      </w:tr>
      <w:tr w:rsidR="00D46DC8" w:rsidRPr="007C6AC4" w:rsidTr="00A1048F">
        <w:trPr>
          <w:trHeight w:val="300"/>
        </w:trPr>
        <w:tc>
          <w:tcPr>
            <w:tcW w:w="2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DC8" w:rsidRPr="007C6AC4" w:rsidRDefault="00D46DC8" w:rsidP="00AB2B2D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6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6DC8" w:rsidRPr="003B2672" w:rsidRDefault="00D46DC8" w:rsidP="00AB2B2D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  <w:r w:rsidRPr="003B2672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>H4) costi relativi alla gestione amministrativa dell'operazione (personale amministrativo)</w:t>
            </w:r>
          </w:p>
        </w:tc>
      </w:tr>
    </w:tbl>
    <w:p w:rsidR="008A340E" w:rsidRDefault="008A340E" w:rsidP="00451A6F">
      <w:pPr>
        <w:spacing w:before="120" w:after="0"/>
        <w:jc w:val="both"/>
        <w:rPr>
          <w:rFonts w:ascii="DecimaWE Rg" w:hAnsi="DecimaWE Rg"/>
          <w:strike/>
          <w:highlight w:val="yellow"/>
          <w:lang w:eastAsia="de-DE"/>
        </w:rPr>
      </w:pPr>
    </w:p>
    <w:p w:rsidR="008A340E" w:rsidRPr="008A340E" w:rsidRDefault="008A340E" w:rsidP="00451A6F">
      <w:pPr>
        <w:spacing w:before="120" w:after="0"/>
        <w:jc w:val="both"/>
        <w:rPr>
          <w:rFonts w:ascii="DecimaWE Rg" w:hAnsi="DecimaWE Rg"/>
          <w:lang w:eastAsia="de-DE"/>
        </w:rPr>
      </w:pPr>
      <w:r w:rsidRPr="008A340E">
        <w:rPr>
          <w:rFonts w:ascii="DecimaWE Rg" w:hAnsi="DecimaWE Rg"/>
          <w:lang w:eastAsia="de-DE"/>
        </w:rPr>
        <w:t xml:space="preserve">La classificazione </w:t>
      </w:r>
      <w:r>
        <w:rPr>
          <w:rFonts w:ascii="DecimaWE Rg" w:hAnsi="DecimaWE Rg"/>
          <w:lang w:eastAsia="de-DE"/>
        </w:rPr>
        <w:t xml:space="preserve">della </w:t>
      </w:r>
      <w:r w:rsidR="001D3EAF">
        <w:rPr>
          <w:rFonts w:ascii="DecimaWE Rg" w:hAnsi="DecimaWE Rg"/>
          <w:lang w:eastAsia="de-DE"/>
        </w:rPr>
        <w:t xml:space="preserve">voce </w:t>
      </w:r>
      <w:r>
        <w:rPr>
          <w:rFonts w:ascii="DecimaWE Rg" w:hAnsi="DecimaWE Rg"/>
          <w:lang w:eastAsia="de-DE"/>
        </w:rPr>
        <w:t>spesa di I livello (</w:t>
      </w:r>
      <w:r w:rsidRPr="001D3EAF">
        <w:rPr>
          <w:rFonts w:ascii="DecimaWE Rg" w:hAnsi="DecimaWE Rg"/>
          <w:i/>
          <w:lang w:eastAsia="de-DE"/>
        </w:rPr>
        <w:t>colonna F</w:t>
      </w:r>
      <w:r>
        <w:rPr>
          <w:rFonts w:ascii="DecimaWE Rg" w:hAnsi="DecimaWE Rg"/>
          <w:lang w:eastAsia="de-DE"/>
        </w:rPr>
        <w:t>)</w:t>
      </w:r>
      <w:r w:rsidR="00100E70">
        <w:rPr>
          <w:rFonts w:ascii="DecimaWE Rg" w:hAnsi="DecimaWE Rg"/>
          <w:lang w:eastAsia="de-DE"/>
        </w:rPr>
        <w:t>, attraverso il menù a tendina,</w:t>
      </w:r>
      <w:r>
        <w:rPr>
          <w:rFonts w:ascii="DecimaWE Rg" w:hAnsi="DecimaWE Rg"/>
          <w:lang w:eastAsia="de-DE"/>
        </w:rPr>
        <w:t xml:space="preserve"> </w:t>
      </w:r>
      <w:r w:rsidR="001D3EAF">
        <w:rPr>
          <w:rFonts w:ascii="DecimaWE Rg" w:hAnsi="DecimaWE Rg"/>
          <w:lang w:eastAsia="de-DE"/>
        </w:rPr>
        <w:t xml:space="preserve">comporta l’attribuzione in </w:t>
      </w:r>
      <w:r w:rsidR="00BC1C35">
        <w:rPr>
          <w:rFonts w:ascii="DecimaWE Rg" w:hAnsi="DecimaWE Rg"/>
          <w:lang w:eastAsia="de-DE"/>
        </w:rPr>
        <w:t xml:space="preserve">modo </w:t>
      </w:r>
      <w:r w:rsidR="001D3EAF">
        <w:rPr>
          <w:rFonts w:ascii="DecimaWE Rg" w:hAnsi="DecimaWE Rg"/>
          <w:lang w:eastAsia="de-DE"/>
        </w:rPr>
        <w:t>automatico del codice criterio operazione (</w:t>
      </w:r>
      <w:r w:rsidR="001D3EAF" w:rsidRPr="001D3EAF">
        <w:rPr>
          <w:rFonts w:ascii="DecimaWE Rg" w:hAnsi="DecimaWE Rg"/>
          <w:i/>
          <w:lang w:eastAsia="de-DE"/>
        </w:rPr>
        <w:t>colonna H</w:t>
      </w:r>
      <w:r w:rsidR="001D3EAF">
        <w:rPr>
          <w:rFonts w:ascii="DecimaWE Rg" w:hAnsi="DecimaWE Rg"/>
          <w:lang w:eastAsia="de-DE"/>
        </w:rPr>
        <w:t>) finalizzato all’attribuzione del punteggio al progetto presentato</w:t>
      </w:r>
      <w:r w:rsidR="000F67B9">
        <w:rPr>
          <w:rFonts w:ascii="DecimaWE Rg" w:hAnsi="DecimaWE Rg"/>
          <w:lang w:eastAsia="de-DE"/>
        </w:rPr>
        <w:t>, ad esclusione delle voci “</w:t>
      </w:r>
      <w:r w:rsidR="00D1065B">
        <w:rPr>
          <w:rFonts w:ascii="DecimaWE Rg" w:hAnsi="DecimaWE Rg"/>
          <w:lang w:eastAsia="de-DE"/>
        </w:rPr>
        <w:t xml:space="preserve">G) </w:t>
      </w:r>
      <w:r w:rsidR="000F67B9">
        <w:rPr>
          <w:rFonts w:ascii="DecimaWE Rg" w:hAnsi="DecimaWE Rg"/>
          <w:lang w:eastAsia="de-DE"/>
        </w:rPr>
        <w:t>Terreni” e “</w:t>
      </w:r>
      <w:r w:rsidR="00D1065B">
        <w:rPr>
          <w:rFonts w:ascii="DecimaWE Rg" w:hAnsi="DecimaWE Rg"/>
          <w:lang w:eastAsia="de-DE"/>
        </w:rPr>
        <w:t xml:space="preserve">H) </w:t>
      </w:r>
      <w:r w:rsidR="000F67B9">
        <w:rPr>
          <w:rFonts w:ascii="DecimaWE Rg" w:hAnsi="DecimaWE Rg"/>
          <w:lang w:eastAsia="de-DE"/>
        </w:rPr>
        <w:t>Spese generali”</w:t>
      </w:r>
      <w:r w:rsidR="001D3EAF">
        <w:rPr>
          <w:rFonts w:ascii="DecimaWE Rg" w:hAnsi="DecimaWE Rg"/>
          <w:lang w:eastAsia="de-DE"/>
        </w:rPr>
        <w:t>, secondo l</w:t>
      </w:r>
      <w:r w:rsidR="005D36FE">
        <w:rPr>
          <w:rFonts w:ascii="DecimaWE Rg" w:hAnsi="DecimaWE Rg"/>
          <w:lang w:eastAsia="de-DE"/>
        </w:rPr>
        <w:t>e</w:t>
      </w:r>
      <w:r w:rsidR="001D3EAF">
        <w:rPr>
          <w:rFonts w:ascii="DecimaWE Rg" w:hAnsi="DecimaWE Rg"/>
          <w:lang w:eastAsia="de-DE"/>
        </w:rPr>
        <w:t xml:space="preserve"> </w:t>
      </w:r>
      <w:r w:rsidR="00D4205A">
        <w:rPr>
          <w:rFonts w:ascii="DecimaWE Rg" w:hAnsi="DecimaWE Rg"/>
          <w:lang w:eastAsia="de-DE"/>
        </w:rPr>
        <w:t>corrispondenz</w:t>
      </w:r>
      <w:r w:rsidR="005D36FE">
        <w:rPr>
          <w:rFonts w:ascii="DecimaWE Rg" w:hAnsi="DecimaWE Rg"/>
          <w:lang w:eastAsia="de-DE"/>
        </w:rPr>
        <w:t>e</w:t>
      </w:r>
      <w:r w:rsidR="001D3EAF">
        <w:rPr>
          <w:rFonts w:ascii="DecimaWE Rg" w:hAnsi="DecimaWE Rg"/>
          <w:lang w:eastAsia="de-DE"/>
        </w:rPr>
        <w:t xml:space="preserve"> di seguito riportat</w:t>
      </w:r>
      <w:r w:rsidR="005D36FE">
        <w:rPr>
          <w:rFonts w:ascii="DecimaWE Rg" w:hAnsi="DecimaWE Rg"/>
          <w:lang w:eastAsia="de-DE"/>
        </w:rPr>
        <w:t>e</w:t>
      </w:r>
      <w:r w:rsidR="001D3EAF">
        <w:rPr>
          <w:rFonts w:ascii="DecimaWE Rg" w:hAnsi="DecimaWE Rg"/>
          <w:lang w:eastAsia="de-DE"/>
        </w:rPr>
        <w:t>:</w:t>
      </w:r>
    </w:p>
    <w:tbl>
      <w:tblPr>
        <w:tblW w:w="979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18"/>
        <w:gridCol w:w="4678"/>
      </w:tblGrid>
      <w:tr w:rsidR="001D3EAF" w:rsidRPr="00F3489B" w:rsidTr="00100E70">
        <w:trPr>
          <w:trHeight w:val="37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D3EAF" w:rsidRPr="00F3489B" w:rsidRDefault="001D3EAF" w:rsidP="005676B2">
            <w:pPr>
              <w:spacing w:after="0" w:line="240" w:lineRule="auto"/>
              <w:jc w:val="center"/>
              <w:rPr>
                <w:rFonts w:ascii="DecimaWE Rg" w:eastAsia="Times New Roman" w:hAnsi="DecimaWE Rg"/>
                <w:b/>
                <w:bCs/>
                <w:color w:val="000000"/>
                <w:sz w:val="24"/>
                <w:szCs w:val="28"/>
                <w:lang w:eastAsia="it-IT"/>
              </w:rPr>
            </w:pPr>
            <w:r w:rsidRPr="00F3489B">
              <w:rPr>
                <w:rFonts w:ascii="DecimaWE Rg" w:eastAsia="Times New Roman" w:hAnsi="DecimaWE Rg"/>
                <w:b/>
                <w:bCs/>
                <w:color w:val="000000"/>
                <w:sz w:val="24"/>
                <w:szCs w:val="28"/>
                <w:lang w:eastAsia="it-IT"/>
              </w:rPr>
              <w:t>Colonna F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1D3EAF" w:rsidRPr="00F3489B" w:rsidRDefault="001D3EAF" w:rsidP="001D3EAF">
            <w:pPr>
              <w:spacing w:after="0" w:line="240" w:lineRule="auto"/>
              <w:jc w:val="center"/>
              <w:rPr>
                <w:rFonts w:ascii="DecimaWE Rg" w:eastAsia="Times New Roman" w:hAnsi="DecimaWE Rg"/>
                <w:b/>
                <w:bCs/>
                <w:color w:val="000000"/>
                <w:sz w:val="24"/>
                <w:szCs w:val="28"/>
                <w:lang w:eastAsia="it-IT"/>
              </w:rPr>
            </w:pPr>
            <w:r w:rsidRPr="00F3489B">
              <w:rPr>
                <w:rFonts w:ascii="DecimaWE Rg" w:eastAsia="Times New Roman" w:hAnsi="DecimaWE Rg"/>
                <w:b/>
                <w:bCs/>
                <w:color w:val="000000"/>
                <w:sz w:val="24"/>
                <w:szCs w:val="28"/>
                <w:lang w:eastAsia="it-IT"/>
              </w:rPr>
              <w:t xml:space="preserve">Colonna </w:t>
            </w:r>
            <w:r>
              <w:rPr>
                <w:rFonts w:ascii="DecimaWE Rg" w:eastAsia="Times New Roman" w:hAnsi="DecimaWE Rg"/>
                <w:b/>
                <w:bCs/>
                <w:color w:val="000000"/>
                <w:sz w:val="24"/>
                <w:szCs w:val="28"/>
                <w:lang w:eastAsia="it-IT"/>
              </w:rPr>
              <w:t>H</w:t>
            </w:r>
          </w:p>
        </w:tc>
      </w:tr>
      <w:tr w:rsidR="001D3EAF" w:rsidRPr="00F3489B" w:rsidTr="00100E70">
        <w:trPr>
          <w:trHeight w:val="698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1D3EAF" w:rsidRPr="00F3489B" w:rsidRDefault="001D3EAF" w:rsidP="005676B2">
            <w:pPr>
              <w:spacing w:after="0" w:line="240" w:lineRule="auto"/>
              <w:jc w:val="center"/>
              <w:rPr>
                <w:rFonts w:ascii="DecimaWE Rg" w:eastAsia="Times New Roman" w:hAnsi="DecimaWE Rg"/>
                <w:b/>
                <w:bCs/>
                <w:color w:val="000000"/>
                <w:sz w:val="20"/>
                <w:szCs w:val="28"/>
                <w:lang w:eastAsia="it-IT"/>
              </w:rPr>
            </w:pPr>
            <w:r w:rsidRPr="00F3489B">
              <w:rPr>
                <w:rFonts w:ascii="DecimaWE Rg" w:eastAsia="Times New Roman" w:hAnsi="DecimaWE Rg"/>
                <w:b/>
                <w:bCs/>
                <w:color w:val="000000"/>
                <w:sz w:val="20"/>
                <w:szCs w:val="28"/>
                <w:lang w:eastAsia="it-IT"/>
              </w:rPr>
              <w:t>Classificazione spesa</w:t>
            </w:r>
          </w:p>
          <w:p w:rsidR="001D3EAF" w:rsidRPr="00F3489B" w:rsidRDefault="001D3EAF" w:rsidP="005676B2">
            <w:pPr>
              <w:spacing w:after="0" w:line="240" w:lineRule="auto"/>
              <w:jc w:val="center"/>
              <w:rPr>
                <w:rFonts w:ascii="DecimaWE Rg" w:eastAsia="Times New Roman" w:hAnsi="DecimaWE Rg"/>
                <w:b/>
                <w:bCs/>
                <w:color w:val="000000"/>
                <w:sz w:val="20"/>
                <w:szCs w:val="28"/>
                <w:lang w:eastAsia="it-IT"/>
              </w:rPr>
            </w:pPr>
            <w:r w:rsidRPr="00F3489B">
              <w:rPr>
                <w:rFonts w:ascii="DecimaWE Rg" w:eastAsia="Times New Roman" w:hAnsi="DecimaWE Rg"/>
                <w:b/>
                <w:bCs/>
                <w:color w:val="000000"/>
                <w:sz w:val="20"/>
                <w:szCs w:val="28"/>
                <w:lang w:eastAsia="it-IT"/>
              </w:rPr>
              <w:t>I livello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D3EAF" w:rsidRPr="00F3489B" w:rsidRDefault="001D3EAF" w:rsidP="005676B2">
            <w:pPr>
              <w:spacing w:after="0" w:line="240" w:lineRule="auto"/>
              <w:jc w:val="center"/>
              <w:rPr>
                <w:rFonts w:ascii="DecimaWE Rg" w:eastAsia="Times New Roman" w:hAnsi="DecimaWE Rg"/>
                <w:b/>
                <w:bCs/>
                <w:color w:val="000000"/>
                <w:sz w:val="20"/>
                <w:szCs w:val="28"/>
                <w:lang w:eastAsia="it-IT"/>
              </w:rPr>
            </w:pPr>
            <w:r>
              <w:rPr>
                <w:rFonts w:ascii="DecimaWE Rg" w:eastAsia="Times New Roman" w:hAnsi="DecimaWE Rg"/>
                <w:b/>
                <w:bCs/>
                <w:color w:val="000000"/>
                <w:sz w:val="20"/>
                <w:szCs w:val="28"/>
                <w:lang w:eastAsia="it-IT"/>
              </w:rPr>
              <w:t>Codice Criterio Operazione</w:t>
            </w:r>
          </w:p>
        </w:tc>
      </w:tr>
      <w:tr w:rsidR="001D3EAF" w:rsidRPr="00F3489B" w:rsidTr="00100E70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3EAF" w:rsidRPr="00F3489B" w:rsidRDefault="001D3EAF" w:rsidP="005676B2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  <w:r w:rsidRPr="00F3489B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>A - che contribuiscono a risparmiare energia o a ridurre l’impatto sull’ambiente, incluso il trattamento dei rifiuti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AF" w:rsidRPr="000F67B9" w:rsidRDefault="00386745" w:rsidP="000F67B9">
            <w:pPr>
              <w:spacing w:after="0" w:line="240" w:lineRule="auto"/>
              <w:jc w:val="center"/>
              <w:rPr>
                <w:rFonts w:ascii="DecimaWE Rg" w:eastAsia="Times New Roman" w:hAnsi="DecimaWE Rg"/>
                <w:b/>
                <w:color w:val="000000"/>
                <w:sz w:val="20"/>
                <w:szCs w:val="20"/>
                <w:lang w:eastAsia="it-IT"/>
              </w:rPr>
            </w:pPr>
            <w:r w:rsidRPr="000F67B9">
              <w:rPr>
                <w:rFonts w:ascii="DecimaWE Rg" w:eastAsia="Times New Roman" w:hAnsi="DecimaWE Rg"/>
                <w:b/>
                <w:color w:val="000000"/>
                <w:sz w:val="20"/>
                <w:szCs w:val="20"/>
                <w:lang w:eastAsia="it-IT"/>
              </w:rPr>
              <w:t>O2</w:t>
            </w:r>
          </w:p>
        </w:tc>
      </w:tr>
      <w:tr w:rsidR="0071395F" w:rsidRPr="00F3489B" w:rsidTr="00100E70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745" w:rsidRPr="007C6AC4" w:rsidRDefault="00386745" w:rsidP="005676B2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highlight w:val="yellow"/>
                <w:lang w:eastAsia="it-IT"/>
              </w:rPr>
            </w:pPr>
            <w:r w:rsidRPr="00F3489B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>B - che migliorano la sicurezza, l’igiene, la salute e le condizioni di lavoro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745" w:rsidRPr="000F67B9" w:rsidRDefault="00386745" w:rsidP="000F67B9">
            <w:pPr>
              <w:spacing w:after="0" w:line="240" w:lineRule="auto"/>
              <w:jc w:val="center"/>
              <w:rPr>
                <w:rFonts w:ascii="DecimaWE Rg" w:eastAsia="Times New Roman" w:hAnsi="DecimaWE Rg"/>
                <w:b/>
                <w:color w:val="000000"/>
                <w:sz w:val="20"/>
                <w:szCs w:val="20"/>
                <w:lang w:eastAsia="it-IT"/>
              </w:rPr>
            </w:pPr>
            <w:r w:rsidRPr="000F67B9">
              <w:rPr>
                <w:rFonts w:ascii="DecimaWE Rg" w:eastAsia="Times New Roman" w:hAnsi="DecimaWE Rg"/>
                <w:b/>
                <w:color w:val="000000"/>
                <w:sz w:val="20"/>
                <w:szCs w:val="20"/>
                <w:lang w:eastAsia="it-IT"/>
              </w:rPr>
              <w:t>O3</w:t>
            </w:r>
          </w:p>
        </w:tc>
      </w:tr>
      <w:tr w:rsidR="00386745" w:rsidRPr="00F3489B" w:rsidTr="00100E70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745" w:rsidRPr="00F3489B" w:rsidRDefault="00386745" w:rsidP="005676B2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  <w:r w:rsidRPr="000A7B4E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>C - che sostengono la trasformazione delle catture di pesce commerciale che non possono essere destinate al consumo umano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745" w:rsidRPr="000F67B9" w:rsidRDefault="00386745" w:rsidP="000F67B9">
            <w:pPr>
              <w:spacing w:after="0" w:line="240" w:lineRule="auto"/>
              <w:jc w:val="center"/>
              <w:rPr>
                <w:rFonts w:ascii="DecimaWE Rg" w:eastAsia="Times New Roman" w:hAnsi="DecimaWE Rg"/>
                <w:b/>
                <w:color w:val="000000"/>
                <w:sz w:val="20"/>
                <w:szCs w:val="20"/>
                <w:lang w:eastAsia="it-IT"/>
              </w:rPr>
            </w:pPr>
            <w:r w:rsidRPr="000F67B9">
              <w:rPr>
                <w:rFonts w:ascii="DecimaWE Rg" w:eastAsia="Times New Roman" w:hAnsi="DecimaWE Rg"/>
                <w:b/>
                <w:color w:val="000000"/>
                <w:sz w:val="20"/>
                <w:szCs w:val="20"/>
                <w:lang w:eastAsia="it-IT"/>
              </w:rPr>
              <w:t>O4</w:t>
            </w:r>
          </w:p>
        </w:tc>
      </w:tr>
      <w:tr w:rsidR="00386745" w:rsidRPr="00F3489B" w:rsidTr="00100E70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745" w:rsidRPr="00F3489B" w:rsidRDefault="00386745" w:rsidP="005676B2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  <w:r w:rsidRPr="00F96F2F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>D - che si riferiscono alla trasformazione dei sottoprodotti risultanti dalle trasformazioni principali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745" w:rsidRPr="000F67B9" w:rsidRDefault="00386745" w:rsidP="000F67B9">
            <w:pPr>
              <w:spacing w:after="0" w:line="240" w:lineRule="auto"/>
              <w:jc w:val="center"/>
              <w:rPr>
                <w:rFonts w:ascii="DecimaWE Rg" w:eastAsia="Times New Roman" w:hAnsi="DecimaWE Rg"/>
                <w:b/>
                <w:color w:val="000000"/>
                <w:sz w:val="20"/>
                <w:szCs w:val="20"/>
                <w:lang w:eastAsia="it-IT"/>
              </w:rPr>
            </w:pPr>
            <w:r w:rsidRPr="000F67B9">
              <w:rPr>
                <w:rFonts w:ascii="DecimaWE Rg" w:eastAsia="Times New Roman" w:hAnsi="DecimaWE Rg"/>
                <w:b/>
                <w:color w:val="000000"/>
                <w:sz w:val="20"/>
                <w:szCs w:val="20"/>
                <w:lang w:eastAsia="it-IT"/>
              </w:rPr>
              <w:t>O5</w:t>
            </w:r>
          </w:p>
        </w:tc>
      </w:tr>
      <w:tr w:rsidR="00386745" w:rsidRPr="00F3489B" w:rsidTr="00100E70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745" w:rsidRPr="00F3489B" w:rsidRDefault="00386745" w:rsidP="005676B2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  <w:r w:rsidRPr="00F96F2F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>E - che si riferiscono alla trasformazione dei prodotti dell’acquacoltura biologica conformemente agli artt. 6 e 7 del regolamento (CE) n. 834/2007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745" w:rsidRPr="000F67B9" w:rsidRDefault="00386745" w:rsidP="000F67B9">
            <w:pPr>
              <w:spacing w:after="0" w:line="240" w:lineRule="auto"/>
              <w:jc w:val="center"/>
              <w:rPr>
                <w:rFonts w:ascii="DecimaWE Rg" w:eastAsia="Times New Roman" w:hAnsi="DecimaWE Rg"/>
                <w:b/>
                <w:color w:val="000000"/>
                <w:sz w:val="20"/>
                <w:szCs w:val="20"/>
                <w:lang w:eastAsia="it-IT"/>
              </w:rPr>
            </w:pPr>
            <w:r w:rsidRPr="000F67B9">
              <w:rPr>
                <w:rFonts w:ascii="DecimaWE Rg" w:eastAsia="Times New Roman" w:hAnsi="DecimaWE Rg"/>
                <w:b/>
                <w:color w:val="000000"/>
                <w:sz w:val="20"/>
                <w:szCs w:val="20"/>
                <w:lang w:eastAsia="it-IT"/>
              </w:rPr>
              <w:t>O6</w:t>
            </w:r>
          </w:p>
        </w:tc>
      </w:tr>
      <w:tr w:rsidR="00386745" w:rsidRPr="00F3489B" w:rsidTr="00100E70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745" w:rsidRPr="00F3489B" w:rsidRDefault="00386745" w:rsidP="005676B2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  <w:r w:rsidRPr="00E2128A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>F - che portano a prodotti nuovi o migliorati, a processi nuovi o migliorati o a sistemi di gestione e di organizzazione nuovi o migliorati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745" w:rsidRPr="000F67B9" w:rsidRDefault="00386745" w:rsidP="000F67B9">
            <w:pPr>
              <w:spacing w:after="0" w:line="240" w:lineRule="auto"/>
              <w:jc w:val="center"/>
              <w:rPr>
                <w:rFonts w:ascii="DecimaWE Rg" w:eastAsia="Times New Roman" w:hAnsi="DecimaWE Rg"/>
                <w:b/>
                <w:color w:val="000000"/>
                <w:sz w:val="20"/>
                <w:szCs w:val="20"/>
                <w:lang w:eastAsia="it-IT"/>
              </w:rPr>
            </w:pPr>
            <w:r w:rsidRPr="000F67B9">
              <w:rPr>
                <w:rFonts w:ascii="DecimaWE Rg" w:eastAsia="Times New Roman" w:hAnsi="DecimaWE Rg"/>
                <w:b/>
                <w:color w:val="000000"/>
                <w:sz w:val="20"/>
                <w:szCs w:val="20"/>
                <w:lang w:eastAsia="it-IT"/>
              </w:rPr>
              <w:t>O7</w:t>
            </w:r>
          </w:p>
        </w:tc>
      </w:tr>
      <w:tr w:rsidR="00386745" w:rsidRPr="00F3489B" w:rsidTr="00100E70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745" w:rsidRPr="00F3489B" w:rsidRDefault="00386745" w:rsidP="005676B2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  <w:r w:rsidRPr="002D0FC6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>G) TERRENI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745" w:rsidRPr="0071395F" w:rsidRDefault="00100E70" w:rsidP="000F67B9">
            <w:pPr>
              <w:spacing w:after="0" w:line="240" w:lineRule="auto"/>
              <w:jc w:val="center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 xml:space="preserve">O - </w:t>
            </w:r>
            <w:r w:rsidR="00386745" w:rsidRPr="0071395F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>Spesa non funzionale all'attribuzione del punteggio</w:t>
            </w:r>
          </w:p>
        </w:tc>
      </w:tr>
      <w:tr w:rsidR="00386745" w:rsidRPr="00F3489B" w:rsidTr="00100E70">
        <w:trPr>
          <w:trHeight w:val="51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745" w:rsidRPr="00F3489B" w:rsidRDefault="00386745" w:rsidP="005676B2">
            <w:pPr>
              <w:spacing w:after="0" w:line="240" w:lineRule="auto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  <w:r w:rsidRPr="003B2672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>H) SPESE GENERALI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745" w:rsidRPr="0071395F" w:rsidRDefault="00100E70" w:rsidP="000F67B9">
            <w:pPr>
              <w:spacing w:after="0" w:line="240" w:lineRule="auto"/>
              <w:jc w:val="center"/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 xml:space="preserve">O - </w:t>
            </w:r>
            <w:r w:rsidR="00386745" w:rsidRPr="0071395F">
              <w:rPr>
                <w:rFonts w:ascii="DecimaWE Rg" w:eastAsia="Times New Roman" w:hAnsi="DecimaWE Rg"/>
                <w:color w:val="000000"/>
                <w:sz w:val="20"/>
                <w:szCs w:val="20"/>
                <w:lang w:eastAsia="it-IT"/>
              </w:rPr>
              <w:t>Spesa non funzionale all'attribuzione del punteggio</w:t>
            </w:r>
          </w:p>
        </w:tc>
      </w:tr>
    </w:tbl>
    <w:p w:rsidR="008A340E" w:rsidRDefault="008A340E" w:rsidP="00451A6F">
      <w:pPr>
        <w:spacing w:before="120" w:after="0"/>
        <w:jc w:val="both"/>
        <w:rPr>
          <w:rFonts w:ascii="DecimaWE Rg" w:hAnsi="DecimaWE Rg"/>
          <w:strike/>
          <w:highlight w:val="yellow"/>
          <w:lang w:eastAsia="de-DE"/>
        </w:rPr>
      </w:pPr>
    </w:p>
    <w:p w:rsidR="0044755C" w:rsidRPr="00472D49" w:rsidRDefault="0044755C" w:rsidP="0044755C">
      <w:pPr>
        <w:rPr>
          <w:rFonts w:ascii="DecimaWE Rg" w:hAnsi="DecimaWE Rg"/>
          <w:b/>
        </w:rPr>
      </w:pPr>
      <w:r w:rsidRPr="00472D49">
        <w:rPr>
          <w:rFonts w:ascii="DecimaWE Rg" w:hAnsi="DecimaWE Rg"/>
          <w:b/>
        </w:rPr>
        <w:t xml:space="preserve">Foglio di lavoro 3 – </w:t>
      </w:r>
      <w:r w:rsidRPr="00472D49">
        <w:rPr>
          <w:rFonts w:ascii="DecimaWE Rg" w:hAnsi="DecimaWE Rg"/>
          <w:b/>
          <w:u w:val="single"/>
        </w:rPr>
        <w:t>Criteri di selezione</w:t>
      </w:r>
    </w:p>
    <w:p w:rsidR="009215D3" w:rsidRPr="007C6AC4" w:rsidRDefault="0035607F" w:rsidP="009215D3">
      <w:pPr>
        <w:jc w:val="both"/>
        <w:rPr>
          <w:rFonts w:ascii="DecimaWE Rg" w:hAnsi="DecimaWE Rg"/>
          <w:highlight w:val="yellow"/>
          <w:lang w:eastAsia="de-DE"/>
        </w:rPr>
      </w:pPr>
      <w:r w:rsidRPr="00472D49">
        <w:rPr>
          <w:rFonts w:ascii="DecimaWE Rg" w:hAnsi="DecimaWE Rg"/>
          <w:lang w:eastAsia="de-DE"/>
        </w:rPr>
        <w:t>Nel foglio di lavoro 3.</w:t>
      </w:r>
      <w:r w:rsidR="0051691A" w:rsidRPr="00472D49">
        <w:rPr>
          <w:rFonts w:ascii="DecimaWE Rg" w:hAnsi="DecimaWE Rg"/>
          <w:lang w:eastAsia="de-DE"/>
        </w:rPr>
        <w:t xml:space="preserve"> </w:t>
      </w:r>
      <w:r w:rsidRPr="00472D49">
        <w:rPr>
          <w:rFonts w:ascii="DecimaWE Rg" w:hAnsi="DecimaWE Rg"/>
          <w:u w:val="single"/>
          <w:lang w:eastAsia="de-DE"/>
        </w:rPr>
        <w:t>C</w:t>
      </w:r>
      <w:r w:rsidR="006C7120" w:rsidRPr="00472D49">
        <w:rPr>
          <w:rFonts w:ascii="DecimaWE Rg" w:hAnsi="DecimaWE Rg"/>
          <w:u w:val="single"/>
          <w:lang w:eastAsia="de-DE"/>
        </w:rPr>
        <w:t>riteri di selezione</w:t>
      </w:r>
      <w:r w:rsidR="0051691A" w:rsidRPr="00472D49">
        <w:rPr>
          <w:rFonts w:ascii="DecimaWE Rg" w:hAnsi="DecimaWE Rg"/>
          <w:lang w:eastAsia="de-DE"/>
        </w:rPr>
        <w:t xml:space="preserve">, </w:t>
      </w:r>
      <w:r w:rsidR="00412E0F" w:rsidRPr="00472D49">
        <w:rPr>
          <w:rFonts w:ascii="DecimaWE Rg" w:hAnsi="DecimaWE Rg"/>
          <w:lang w:eastAsia="de-DE"/>
        </w:rPr>
        <w:t>(</w:t>
      </w:r>
      <w:r w:rsidR="0051691A" w:rsidRPr="00472D49">
        <w:rPr>
          <w:rFonts w:ascii="DecimaWE Rg" w:hAnsi="DecimaWE Rg"/>
          <w:lang w:eastAsia="de-DE"/>
        </w:rPr>
        <w:t xml:space="preserve">nella </w:t>
      </w:r>
      <w:r w:rsidR="0051691A" w:rsidRPr="00472D49">
        <w:rPr>
          <w:rFonts w:ascii="DecimaWE Rg" w:hAnsi="DecimaWE Rg"/>
          <w:i/>
          <w:lang w:eastAsia="de-DE"/>
        </w:rPr>
        <w:t>colonna C</w:t>
      </w:r>
      <w:r w:rsidR="00412E0F" w:rsidRPr="00472D49">
        <w:rPr>
          <w:rFonts w:ascii="DecimaWE Rg" w:hAnsi="DecimaWE Rg"/>
          <w:i/>
          <w:lang w:eastAsia="de-DE"/>
        </w:rPr>
        <w:t>)</w:t>
      </w:r>
      <w:r w:rsidR="0051691A" w:rsidRPr="00472D49">
        <w:rPr>
          <w:rFonts w:ascii="DecimaWE Rg" w:hAnsi="DecimaWE Rg"/>
          <w:lang w:eastAsia="de-DE"/>
        </w:rPr>
        <w:t xml:space="preserve"> i campi relativi ai criteri </w:t>
      </w:r>
      <w:r w:rsidR="00472D49">
        <w:rPr>
          <w:rFonts w:ascii="DecimaWE Rg" w:hAnsi="DecimaWE Rg"/>
          <w:lang w:eastAsia="de-DE"/>
        </w:rPr>
        <w:t xml:space="preserve">O2, </w:t>
      </w:r>
      <w:r w:rsidR="0051691A" w:rsidRPr="00472D49">
        <w:rPr>
          <w:rFonts w:ascii="DecimaWE Rg" w:hAnsi="DecimaWE Rg"/>
          <w:lang w:eastAsia="de-DE"/>
        </w:rPr>
        <w:t>O3,</w:t>
      </w:r>
      <w:r w:rsidR="006C7120" w:rsidRPr="00472D49">
        <w:rPr>
          <w:rFonts w:ascii="DecimaWE Rg" w:hAnsi="DecimaWE Rg"/>
          <w:lang w:eastAsia="de-DE"/>
        </w:rPr>
        <w:t xml:space="preserve"> O4</w:t>
      </w:r>
      <w:r w:rsidR="0051691A" w:rsidRPr="00472D49">
        <w:rPr>
          <w:rFonts w:ascii="DecimaWE Rg" w:hAnsi="DecimaWE Rg"/>
          <w:lang w:eastAsia="de-DE"/>
        </w:rPr>
        <w:t>,</w:t>
      </w:r>
      <w:r w:rsidR="006C7120" w:rsidRPr="00472D49">
        <w:rPr>
          <w:rFonts w:ascii="DecimaWE Rg" w:hAnsi="DecimaWE Rg"/>
          <w:lang w:eastAsia="de-DE"/>
        </w:rPr>
        <w:t xml:space="preserve"> O5</w:t>
      </w:r>
      <w:r w:rsidR="002A4884" w:rsidRPr="00472D49">
        <w:rPr>
          <w:rFonts w:ascii="DecimaWE Rg" w:hAnsi="DecimaWE Rg"/>
          <w:lang w:eastAsia="de-DE"/>
        </w:rPr>
        <w:t>,</w:t>
      </w:r>
      <w:r w:rsidR="0051691A" w:rsidRPr="00472D49">
        <w:rPr>
          <w:rFonts w:ascii="DecimaWE Rg" w:hAnsi="DecimaWE Rg"/>
          <w:lang w:eastAsia="de-DE"/>
        </w:rPr>
        <w:t xml:space="preserve"> O6 e O7</w:t>
      </w:r>
      <w:r w:rsidR="006C7120" w:rsidRPr="00472D49">
        <w:rPr>
          <w:rFonts w:ascii="DecimaWE Rg" w:hAnsi="DecimaWE Rg"/>
          <w:lang w:eastAsia="de-DE"/>
        </w:rPr>
        <w:t xml:space="preserve"> risulteranno già co</w:t>
      </w:r>
      <w:r w:rsidR="005A2D91" w:rsidRPr="00472D49">
        <w:rPr>
          <w:rFonts w:ascii="DecimaWE Rg" w:hAnsi="DecimaWE Rg"/>
          <w:lang w:eastAsia="de-DE"/>
        </w:rPr>
        <w:t>m</w:t>
      </w:r>
      <w:r w:rsidR="006C7120" w:rsidRPr="00472D49">
        <w:rPr>
          <w:rFonts w:ascii="DecimaWE Rg" w:hAnsi="DecimaWE Rg"/>
          <w:lang w:eastAsia="de-DE"/>
        </w:rPr>
        <w:t xml:space="preserve">pilati in </w:t>
      </w:r>
      <w:r w:rsidR="0051691A" w:rsidRPr="00472D49">
        <w:rPr>
          <w:rFonts w:ascii="DecimaWE Rg" w:hAnsi="DecimaWE Rg"/>
          <w:lang w:eastAsia="de-DE"/>
        </w:rPr>
        <w:t xml:space="preserve">funzione della classificazione delle spese effettuata </w:t>
      </w:r>
      <w:r w:rsidR="006C7120" w:rsidRPr="00472D49">
        <w:rPr>
          <w:rFonts w:ascii="DecimaWE Rg" w:hAnsi="DecimaWE Rg"/>
          <w:lang w:eastAsia="de-DE"/>
        </w:rPr>
        <w:t>nel foglio di lavoro precedente (foglio di lavoro 2</w:t>
      </w:r>
      <w:r w:rsidRPr="00472D49">
        <w:rPr>
          <w:rFonts w:ascii="DecimaWE Rg" w:hAnsi="DecimaWE Rg"/>
          <w:lang w:eastAsia="de-DE"/>
        </w:rPr>
        <w:t>.</w:t>
      </w:r>
      <w:r w:rsidR="0051691A" w:rsidRPr="00472D49">
        <w:rPr>
          <w:rFonts w:ascii="DecimaWE Rg" w:hAnsi="DecimaWE Rg"/>
          <w:lang w:eastAsia="de-DE"/>
        </w:rPr>
        <w:t xml:space="preserve"> </w:t>
      </w:r>
      <w:r w:rsidR="006C7120" w:rsidRPr="00472D49">
        <w:rPr>
          <w:rFonts w:ascii="DecimaWE Rg" w:hAnsi="DecimaWE Rg"/>
          <w:u w:val="single"/>
          <w:lang w:eastAsia="de-DE"/>
        </w:rPr>
        <w:t>Riepilogo spes</w:t>
      </w:r>
      <w:r w:rsidR="00412E0F" w:rsidRPr="00472D49">
        <w:rPr>
          <w:rFonts w:ascii="DecimaWE Rg" w:hAnsi="DecimaWE Rg"/>
          <w:u w:val="single"/>
          <w:lang w:eastAsia="de-DE"/>
        </w:rPr>
        <w:t>e</w:t>
      </w:r>
      <w:r w:rsidR="006C7120" w:rsidRPr="00472D49">
        <w:rPr>
          <w:rFonts w:ascii="DecimaWE Rg" w:hAnsi="DecimaWE Rg"/>
          <w:lang w:eastAsia="de-DE"/>
        </w:rPr>
        <w:t xml:space="preserve"> </w:t>
      </w:r>
      <w:r w:rsidR="006C7120" w:rsidRPr="00472D49">
        <w:rPr>
          <w:rFonts w:ascii="DecimaWE Rg" w:hAnsi="DecimaWE Rg"/>
          <w:i/>
          <w:lang w:eastAsia="de-DE"/>
        </w:rPr>
        <w:t xml:space="preserve">colonna </w:t>
      </w:r>
      <w:r w:rsidR="0051691A" w:rsidRPr="00472D49">
        <w:rPr>
          <w:rFonts w:ascii="DecimaWE Rg" w:hAnsi="DecimaWE Rg"/>
          <w:i/>
          <w:lang w:eastAsia="de-DE"/>
        </w:rPr>
        <w:t>H</w:t>
      </w:r>
      <w:r w:rsidR="006C7120" w:rsidRPr="00472D49">
        <w:rPr>
          <w:rFonts w:ascii="DecimaWE Rg" w:hAnsi="DecimaWE Rg"/>
          <w:lang w:eastAsia="de-DE"/>
        </w:rPr>
        <w:t xml:space="preserve">). </w:t>
      </w:r>
      <w:r w:rsidR="00104723" w:rsidRPr="00472D49">
        <w:rPr>
          <w:rFonts w:ascii="DecimaWE Rg" w:hAnsi="DecimaWE Rg"/>
          <w:lang w:eastAsia="de-DE"/>
        </w:rPr>
        <w:t xml:space="preserve">Per i criteri di selezione diversi da </w:t>
      </w:r>
      <w:r w:rsidR="00472D49" w:rsidRPr="00472D49">
        <w:rPr>
          <w:rFonts w:ascii="DecimaWE Rg" w:hAnsi="DecimaWE Rg"/>
          <w:lang w:eastAsia="de-DE"/>
        </w:rPr>
        <w:t xml:space="preserve">O2, </w:t>
      </w:r>
      <w:r w:rsidR="0051691A" w:rsidRPr="00472D49">
        <w:rPr>
          <w:rFonts w:ascii="DecimaWE Rg" w:hAnsi="DecimaWE Rg"/>
          <w:lang w:eastAsia="de-DE"/>
        </w:rPr>
        <w:t>O3, O4, O5</w:t>
      </w:r>
      <w:r w:rsidR="002A4884" w:rsidRPr="00472D49">
        <w:rPr>
          <w:rFonts w:ascii="DecimaWE Rg" w:hAnsi="DecimaWE Rg"/>
          <w:lang w:eastAsia="de-DE"/>
        </w:rPr>
        <w:t>,</w:t>
      </w:r>
      <w:r w:rsidR="0051691A" w:rsidRPr="00472D49">
        <w:rPr>
          <w:rFonts w:ascii="DecimaWE Rg" w:hAnsi="DecimaWE Rg"/>
          <w:lang w:eastAsia="de-DE"/>
        </w:rPr>
        <w:t xml:space="preserve"> O6 e O7</w:t>
      </w:r>
      <w:r w:rsidR="005A2D91" w:rsidRPr="00472D49">
        <w:rPr>
          <w:rFonts w:ascii="DecimaWE Rg" w:hAnsi="DecimaWE Rg"/>
          <w:lang w:eastAsia="de-DE"/>
        </w:rPr>
        <w:t xml:space="preserve">, </w:t>
      </w:r>
      <w:r w:rsidR="009215D3" w:rsidRPr="00472D49">
        <w:rPr>
          <w:rFonts w:ascii="DecimaWE Rg" w:hAnsi="DecimaWE Rg"/>
          <w:lang w:eastAsia="de-DE"/>
        </w:rPr>
        <w:t>va selezionata l’opzione SI/NO in funzione del soddisfacimento o meno del criterio (</w:t>
      </w:r>
      <w:r w:rsidR="009215D3" w:rsidRPr="00472D49">
        <w:rPr>
          <w:rFonts w:ascii="DecimaWE Rg" w:hAnsi="DecimaWE Rg"/>
          <w:i/>
          <w:lang w:eastAsia="de-DE"/>
        </w:rPr>
        <w:t>campo giallo chiaro – colonna C</w:t>
      </w:r>
      <w:r w:rsidR="009215D3" w:rsidRPr="00472D49">
        <w:rPr>
          <w:rFonts w:ascii="DecimaWE Rg" w:hAnsi="DecimaWE Rg"/>
          <w:lang w:eastAsia="de-DE"/>
        </w:rPr>
        <w:t>) da parte dell’operazione per la quale si chiede il finanziamento.</w:t>
      </w:r>
    </w:p>
    <w:p w:rsidR="001E6E7B" w:rsidRPr="002A4884" w:rsidRDefault="005A2D91" w:rsidP="009215D3">
      <w:pPr>
        <w:jc w:val="both"/>
        <w:rPr>
          <w:rFonts w:ascii="DecimaWE Rg" w:hAnsi="DecimaWE Rg"/>
          <w:lang w:eastAsia="de-DE"/>
        </w:rPr>
      </w:pPr>
      <w:r w:rsidRPr="00BB3D9D">
        <w:rPr>
          <w:rFonts w:ascii="DecimaWE Rg" w:hAnsi="DecimaWE Rg"/>
          <w:lang w:eastAsia="de-DE"/>
        </w:rPr>
        <w:lastRenderedPageBreak/>
        <w:t>Il punteggio totale viene automaticamente calcolato (moltiplicazione del coeff</w:t>
      </w:r>
      <w:r w:rsidR="00976082" w:rsidRPr="00BB3D9D">
        <w:rPr>
          <w:rFonts w:ascii="DecimaWE Rg" w:hAnsi="DecimaWE Rg"/>
          <w:lang w:eastAsia="de-DE"/>
        </w:rPr>
        <w:t>i</w:t>
      </w:r>
      <w:r w:rsidRPr="00BB3D9D">
        <w:rPr>
          <w:rFonts w:ascii="DecimaWE Rg" w:hAnsi="DecimaWE Rg"/>
          <w:lang w:eastAsia="de-DE"/>
        </w:rPr>
        <w:t>ciente * peso attribuito al criterio per ogni criterio).</w:t>
      </w:r>
      <w:r w:rsidR="00917E1A" w:rsidRPr="00BB3D9D">
        <w:rPr>
          <w:rFonts w:ascii="DecimaWE Rg" w:hAnsi="DecimaWE Rg"/>
          <w:lang w:eastAsia="de-DE"/>
        </w:rPr>
        <w:t xml:space="preserve"> </w:t>
      </w:r>
      <w:r w:rsidR="00B01BE8" w:rsidRPr="00BB3D9D">
        <w:rPr>
          <w:rFonts w:ascii="DecimaWE Rg" w:hAnsi="DecimaWE Rg"/>
          <w:lang w:eastAsia="de-DE"/>
        </w:rPr>
        <w:t xml:space="preserve">Il punteggio totale riportato nel </w:t>
      </w:r>
      <w:r w:rsidR="009215D3" w:rsidRPr="00BB3D9D">
        <w:rPr>
          <w:rFonts w:ascii="DecimaWE Rg" w:hAnsi="DecimaWE Rg"/>
          <w:lang w:eastAsia="de-DE"/>
        </w:rPr>
        <w:t xml:space="preserve">foglio di lavoro 3. </w:t>
      </w:r>
      <w:r w:rsidR="009215D3" w:rsidRPr="00BB3D9D">
        <w:rPr>
          <w:rFonts w:ascii="DecimaWE Rg" w:hAnsi="DecimaWE Rg"/>
          <w:u w:val="single"/>
          <w:lang w:eastAsia="de-DE"/>
        </w:rPr>
        <w:t>Criteri di selezione</w:t>
      </w:r>
      <w:r w:rsidR="009215D3" w:rsidRPr="00BB3D9D">
        <w:rPr>
          <w:rFonts w:ascii="DecimaWE Rg" w:hAnsi="DecimaWE Rg"/>
          <w:lang w:eastAsia="de-DE"/>
        </w:rPr>
        <w:t xml:space="preserve">, </w:t>
      </w:r>
      <w:r w:rsidR="00B01BE8" w:rsidRPr="00BB3D9D">
        <w:rPr>
          <w:rFonts w:ascii="DecimaWE Rg" w:hAnsi="DecimaWE Rg"/>
          <w:lang w:eastAsia="de-DE"/>
        </w:rPr>
        <w:t xml:space="preserve">come indicato </w:t>
      </w:r>
      <w:r w:rsidR="008B0907" w:rsidRPr="00BB3D9D">
        <w:rPr>
          <w:rFonts w:ascii="DecimaWE Rg" w:hAnsi="DecimaWE Rg"/>
          <w:lang w:eastAsia="de-DE"/>
        </w:rPr>
        <w:t>nel capitolo</w:t>
      </w:r>
      <w:r w:rsidR="00B01BE8" w:rsidRPr="00BB3D9D">
        <w:rPr>
          <w:rFonts w:ascii="DecimaWE Rg" w:hAnsi="DecimaWE Rg"/>
          <w:lang w:eastAsia="de-DE"/>
        </w:rPr>
        <w:t xml:space="preserve"> </w:t>
      </w:r>
      <w:r w:rsidR="009215D3" w:rsidRPr="00BE1234">
        <w:rPr>
          <w:rFonts w:ascii="DecimaWE Rg" w:hAnsi="DecimaWE Rg"/>
          <w:lang w:eastAsia="de-DE"/>
        </w:rPr>
        <w:t>10</w:t>
      </w:r>
      <w:r w:rsidR="00B01BE8" w:rsidRPr="00BE1234">
        <w:rPr>
          <w:rFonts w:ascii="DecimaWE Rg" w:hAnsi="DecimaWE Rg"/>
          <w:lang w:eastAsia="de-DE"/>
        </w:rPr>
        <w:t xml:space="preserve"> del bando</w:t>
      </w:r>
      <w:r w:rsidR="008B0907" w:rsidRPr="00BB3D9D">
        <w:rPr>
          <w:rFonts w:ascii="DecimaWE Rg" w:hAnsi="DecimaWE Rg"/>
          <w:lang w:eastAsia="de-DE"/>
        </w:rPr>
        <w:t>,</w:t>
      </w:r>
      <w:r w:rsidR="00B01BE8" w:rsidRPr="00BB3D9D">
        <w:rPr>
          <w:rFonts w:ascii="DecimaWE Rg" w:hAnsi="DecimaWE Rg"/>
          <w:lang w:eastAsia="de-DE"/>
        </w:rPr>
        <w:t xml:space="preserve"> costituirà il </w:t>
      </w:r>
      <w:r w:rsidR="00B01BE8" w:rsidRPr="00BB3D9D">
        <w:rPr>
          <w:rFonts w:ascii="DecimaWE Rg" w:hAnsi="DecimaWE Rg"/>
          <w:b/>
          <w:lang w:eastAsia="de-DE"/>
        </w:rPr>
        <w:t>punteggio di autovalutazione del richiedente</w:t>
      </w:r>
      <w:bookmarkStart w:id="4" w:name="_Toc477348493"/>
      <w:bookmarkEnd w:id="4"/>
      <w:r w:rsidR="009215D3" w:rsidRPr="00BB3D9D">
        <w:rPr>
          <w:rFonts w:ascii="DecimaWE Rg" w:hAnsi="DecimaWE Rg"/>
          <w:lang w:eastAsia="de-DE"/>
        </w:rPr>
        <w:t>.</w:t>
      </w:r>
    </w:p>
    <w:sectPr w:rsidR="001E6E7B" w:rsidRPr="002A4884" w:rsidSect="002A4884">
      <w:headerReference w:type="default" r:id="rId10"/>
      <w:foot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726" w:rsidRDefault="00B75726" w:rsidP="00C257F8">
      <w:pPr>
        <w:spacing w:after="0" w:line="240" w:lineRule="auto"/>
      </w:pPr>
      <w:r>
        <w:separator/>
      </w:r>
    </w:p>
  </w:endnote>
  <w:endnote w:type="continuationSeparator" w:id="0">
    <w:p w:rsidR="00B75726" w:rsidRDefault="00B75726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743650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BE4115" w:rsidRPr="0068185A" w:rsidRDefault="00BE4115" w:rsidP="00BE4115">
            <w:pPr>
              <w:pStyle w:val="Pidipagina"/>
              <w:pBdr>
                <w:top w:val="single" w:sz="4" w:space="1" w:color="auto"/>
              </w:pBd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</w:pPr>
            <w:r w:rsidRPr="0068185A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>FEAMP - Art. 69 del Reg. (UE) n. 508/2014</w:t>
            </w:r>
            <w:r w:rsidRPr="0068185A">
              <w:rPr>
                <w:rFonts w:ascii="DecimaWE Rg" w:eastAsiaTheme="majorEastAsia" w:hAnsi="DecimaWE Rg" w:cstheme="majorBidi"/>
                <w:lang w:val="en-US"/>
              </w:rPr>
              <w:t xml:space="preserve"> </w:t>
            </w:r>
          </w:p>
          <w:p w:rsidR="00C116E5" w:rsidRPr="00C116E5" w:rsidRDefault="00C116E5" w:rsidP="00BE4115">
            <w:pPr>
              <w:pStyle w:val="Pidipagina"/>
              <w:pBdr>
                <w:top w:val="single" w:sz="4" w:space="1" w:color="auto"/>
              </w:pBdr>
            </w:pPr>
            <w:r w:rsidRPr="00C116E5">
              <w:rPr>
                <w:rFonts w:ascii="DecimaWE Rg" w:eastAsiaTheme="majorEastAsia" w:hAnsi="DecimaWE Rg" w:cstheme="majorBidi"/>
              </w:rPr>
              <w:t>Servizio caccia e risorse ittiche</w:t>
            </w:r>
            <w:r w:rsidRPr="00C116E5">
              <w:rPr>
                <w:rFonts w:ascii="DecimaWE Rg" w:eastAsiaTheme="majorEastAsia" w:hAnsi="DecimaWE Rg" w:cstheme="majorBidi"/>
              </w:rPr>
              <w:ptab w:relativeTo="margin" w:alignment="right" w:leader="none"/>
            </w:r>
          </w:p>
          <w:p w:rsidR="00C116E5" w:rsidRPr="00C116E5" w:rsidRDefault="00C116E5" w:rsidP="00C116E5">
            <w:pPr>
              <w:pStyle w:val="Pidipagina"/>
              <w:jc w:val="right"/>
              <w:rPr>
                <w:lang w:val="en-US"/>
              </w:rPr>
            </w:pPr>
            <w:r w:rsidRPr="00C116E5">
              <w:t xml:space="preserve">Pag.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PAGE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B26CD9">
              <w:rPr>
                <w:bCs/>
                <w:noProof/>
              </w:rPr>
              <w:t>5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  <w:r w:rsidRPr="00C116E5">
              <w:t xml:space="preserve"> /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NUMPAGES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B26CD9">
              <w:rPr>
                <w:bCs/>
                <w:noProof/>
              </w:rPr>
              <w:t>6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726" w:rsidRDefault="00B75726" w:rsidP="00C257F8">
      <w:pPr>
        <w:spacing w:after="0" w:line="240" w:lineRule="auto"/>
      </w:pPr>
      <w:r>
        <w:separator/>
      </w:r>
    </w:p>
  </w:footnote>
  <w:footnote w:type="continuationSeparator" w:id="0">
    <w:p w:rsidR="00B75726" w:rsidRDefault="00B75726" w:rsidP="00C25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7F8" w:rsidRDefault="006F0140" w:rsidP="00C257F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0288" behindDoc="0" locked="0" layoutInCell="1" allowOverlap="1" wp14:anchorId="5CB02BEE" wp14:editId="6D9221F3">
          <wp:simplePos x="0" y="0"/>
          <wp:positionH relativeFrom="column">
            <wp:posOffset>2757805</wp:posOffset>
          </wp:positionH>
          <wp:positionV relativeFrom="paragraph">
            <wp:posOffset>3175</wp:posOffset>
          </wp:positionV>
          <wp:extent cx="426085" cy="476885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6085" cy="4768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C0B9A"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1A2D54FA" wp14:editId="5821AB4C">
          <wp:simplePos x="0" y="0"/>
          <wp:positionH relativeFrom="column">
            <wp:posOffset>822325</wp:posOffset>
          </wp:positionH>
          <wp:positionV relativeFrom="paragraph">
            <wp:posOffset>26670</wp:posOffset>
          </wp:positionV>
          <wp:extent cx="1409700" cy="509905"/>
          <wp:effectExtent l="0" t="0" r="0" b="4445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amp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9700" cy="5099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257F8"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1EB57075" wp14:editId="31A7F6EC">
          <wp:simplePos x="0" y="0"/>
          <wp:positionH relativeFrom="column">
            <wp:posOffset>3759835</wp:posOffset>
          </wp:positionH>
          <wp:positionV relativeFrom="paragraph">
            <wp:posOffset>-2540</wp:posOffset>
          </wp:positionV>
          <wp:extent cx="2367915" cy="485775"/>
          <wp:effectExtent l="0" t="0" r="0" b="9525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gione-friuli-1024x210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7915" cy="4857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A4970">
      <w:rPr>
        <w:noProof/>
        <w:lang w:eastAsia="it-IT"/>
      </w:rPr>
      <w:drawing>
        <wp:inline distT="0" distB="0" distL="0" distR="0" wp14:anchorId="13B87AFA" wp14:editId="275287FD">
          <wp:extent cx="771276" cy="50369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9845" cy="50275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7A262A" w:rsidRPr="007F659D" w:rsidRDefault="007A262A" w:rsidP="007A262A">
    <w:pPr>
      <w:jc w:val="right"/>
      <w:rPr>
        <w:rStyle w:val="info-label"/>
        <w:rFonts w:ascii="DecimaWE Rg" w:hAnsi="DecimaWE Rg"/>
        <w:b/>
        <w:color w:val="1F497D" w:themeColor="text2"/>
      </w:rPr>
    </w:pPr>
    <w:r w:rsidRPr="007F659D">
      <w:rPr>
        <w:rStyle w:val="info-label"/>
        <w:rFonts w:ascii="DecimaWE Rg" w:hAnsi="DecimaWE Rg"/>
        <w:b/>
        <w:color w:val="1F497D" w:themeColor="text2"/>
      </w:rPr>
      <w:t>A</w:t>
    </w:r>
    <w:r w:rsidR="00846EE3">
      <w:rPr>
        <w:rStyle w:val="info-label"/>
        <w:rFonts w:ascii="DecimaWE Rg" w:hAnsi="DecimaWE Rg"/>
        <w:b/>
        <w:color w:val="1F497D" w:themeColor="text2"/>
      </w:rPr>
      <w:t>ll_04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D4969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860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">
    <w:nsid w:val="64BA753A"/>
    <w:multiLevelType w:val="hybridMultilevel"/>
    <w:tmpl w:val="10B44E7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F706DF"/>
    <w:multiLevelType w:val="hybridMultilevel"/>
    <w:tmpl w:val="B4FCCB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F8"/>
    <w:rsid w:val="000061B7"/>
    <w:rsid w:val="000072E1"/>
    <w:rsid w:val="00011B51"/>
    <w:rsid w:val="000122B9"/>
    <w:rsid w:val="000138B0"/>
    <w:rsid w:val="00014672"/>
    <w:rsid w:val="000172E4"/>
    <w:rsid w:val="0002308F"/>
    <w:rsid w:val="000243F7"/>
    <w:rsid w:val="00027151"/>
    <w:rsid w:val="00034874"/>
    <w:rsid w:val="00037B83"/>
    <w:rsid w:val="0005331B"/>
    <w:rsid w:val="00061B98"/>
    <w:rsid w:val="00063997"/>
    <w:rsid w:val="000762E2"/>
    <w:rsid w:val="00080B08"/>
    <w:rsid w:val="00082896"/>
    <w:rsid w:val="00092ABC"/>
    <w:rsid w:val="000951A0"/>
    <w:rsid w:val="00096807"/>
    <w:rsid w:val="000A4970"/>
    <w:rsid w:val="000A7B4E"/>
    <w:rsid w:val="000B0E29"/>
    <w:rsid w:val="000B6B26"/>
    <w:rsid w:val="000C0325"/>
    <w:rsid w:val="000C0EE9"/>
    <w:rsid w:val="000C3F5E"/>
    <w:rsid w:val="000C40E7"/>
    <w:rsid w:val="000D03B8"/>
    <w:rsid w:val="000D0668"/>
    <w:rsid w:val="000D0A82"/>
    <w:rsid w:val="000D1080"/>
    <w:rsid w:val="000E362E"/>
    <w:rsid w:val="000E5202"/>
    <w:rsid w:val="000E5780"/>
    <w:rsid w:val="000F67B9"/>
    <w:rsid w:val="00100E70"/>
    <w:rsid w:val="001029D2"/>
    <w:rsid w:val="00104084"/>
    <w:rsid w:val="00104723"/>
    <w:rsid w:val="001470FE"/>
    <w:rsid w:val="00154C79"/>
    <w:rsid w:val="001623D7"/>
    <w:rsid w:val="001668ED"/>
    <w:rsid w:val="001700E1"/>
    <w:rsid w:val="001721A4"/>
    <w:rsid w:val="0017558A"/>
    <w:rsid w:val="00176A51"/>
    <w:rsid w:val="00176B06"/>
    <w:rsid w:val="00186AB4"/>
    <w:rsid w:val="001A3CA1"/>
    <w:rsid w:val="001A569A"/>
    <w:rsid w:val="001B51AB"/>
    <w:rsid w:val="001C1919"/>
    <w:rsid w:val="001C2A35"/>
    <w:rsid w:val="001C329F"/>
    <w:rsid w:val="001D004B"/>
    <w:rsid w:val="001D0291"/>
    <w:rsid w:val="001D0D74"/>
    <w:rsid w:val="001D3CE9"/>
    <w:rsid w:val="001D3EAF"/>
    <w:rsid w:val="001E0AA1"/>
    <w:rsid w:val="001E6E7B"/>
    <w:rsid w:val="001F539A"/>
    <w:rsid w:val="00206772"/>
    <w:rsid w:val="00212B5B"/>
    <w:rsid w:val="00221DD0"/>
    <w:rsid w:val="002231DA"/>
    <w:rsid w:val="00223215"/>
    <w:rsid w:val="00254B18"/>
    <w:rsid w:val="00260FC2"/>
    <w:rsid w:val="00262CD6"/>
    <w:rsid w:val="00273968"/>
    <w:rsid w:val="00283D2E"/>
    <w:rsid w:val="00287571"/>
    <w:rsid w:val="002A4884"/>
    <w:rsid w:val="002B36FB"/>
    <w:rsid w:val="002C2D20"/>
    <w:rsid w:val="002D0FC6"/>
    <w:rsid w:val="002D5BCE"/>
    <w:rsid w:val="002D6218"/>
    <w:rsid w:val="002D665E"/>
    <w:rsid w:val="002F2CA7"/>
    <w:rsid w:val="002F462F"/>
    <w:rsid w:val="00312F87"/>
    <w:rsid w:val="00325A0D"/>
    <w:rsid w:val="00325E32"/>
    <w:rsid w:val="0032632C"/>
    <w:rsid w:val="0033112B"/>
    <w:rsid w:val="00352950"/>
    <w:rsid w:val="0035607F"/>
    <w:rsid w:val="00365E0E"/>
    <w:rsid w:val="0037316B"/>
    <w:rsid w:val="00374CCE"/>
    <w:rsid w:val="003808A2"/>
    <w:rsid w:val="003843E8"/>
    <w:rsid w:val="00386745"/>
    <w:rsid w:val="003A0791"/>
    <w:rsid w:val="003A096E"/>
    <w:rsid w:val="003B2672"/>
    <w:rsid w:val="003C36CE"/>
    <w:rsid w:val="003D329E"/>
    <w:rsid w:val="003E2971"/>
    <w:rsid w:val="003E6E39"/>
    <w:rsid w:val="003F1063"/>
    <w:rsid w:val="003F1805"/>
    <w:rsid w:val="00407BFE"/>
    <w:rsid w:val="00412E0F"/>
    <w:rsid w:val="0042059E"/>
    <w:rsid w:val="0042315D"/>
    <w:rsid w:val="004255D3"/>
    <w:rsid w:val="0044755C"/>
    <w:rsid w:val="0045026C"/>
    <w:rsid w:val="00450AC5"/>
    <w:rsid w:val="00450ECC"/>
    <w:rsid w:val="00451A6F"/>
    <w:rsid w:val="00457D6F"/>
    <w:rsid w:val="00471053"/>
    <w:rsid w:val="0047174D"/>
    <w:rsid w:val="00472D49"/>
    <w:rsid w:val="004A138F"/>
    <w:rsid w:val="004E4097"/>
    <w:rsid w:val="004E72E5"/>
    <w:rsid w:val="004F03A0"/>
    <w:rsid w:val="004F2317"/>
    <w:rsid w:val="004F2914"/>
    <w:rsid w:val="00500430"/>
    <w:rsid w:val="00502416"/>
    <w:rsid w:val="00503E4B"/>
    <w:rsid w:val="0050722C"/>
    <w:rsid w:val="00512C98"/>
    <w:rsid w:val="00513296"/>
    <w:rsid w:val="0051691A"/>
    <w:rsid w:val="00552A92"/>
    <w:rsid w:val="00560626"/>
    <w:rsid w:val="0057062D"/>
    <w:rsid w:val="00590CBD"/>
    <w:rsid w:val="00595D8A"/>
    <w:rsid w:val="005A2D91"/>
    <w:rsid w:val="005A3A13"/>
    <w:rsid w:val="005A7509"/>
    <w:rsid w:val="005B4A0D"/>
    <w:rsid w:val="005C4E62"/>
    <w:rsid w:val="005D13AE"/>
    <w:rsid w:val="005D1C91"/>
    <w:rsid w:val="005D36FE"/>
    <w:rsid w:val="005D4975"/>
    <w:rsid w:val="005F4B19"/>
    <w:rsid w:val="0060418D"/>
    <w:rsid w:val="00631F25"/>
    <w:rsid w:val="00642E8C"/>
    <w:rsid w:val="00644245"/>
    <w:rsid w:val="006461A3"/>
    <w:rsid w:val="006520D7"/>
    <w:rsid w:val="006628E5"/>
    <w:rsid w:val="00676419"/>
    <w:rsid w:val="0069262F"/>
    <w:rsid w:val="006B673F"/>
    <w:rsid w:val="006C2962"/>
    <w:rsid w:val="006C3557"/>
    <w:rsid w:val="006C4AC5"/>
    <w:rsid w:val="006C5FDF"/>
    <w:rsid w:val="006C7120"/>
    <w:rsid w:val="006D4D42"/>
    <w:rsid w:val="006F0140"/>
    <w:rsid w:val="00701D7A"/>
    <w:rsid w:val="00702699"/>
    <w:rsid w:val="0071395F"/>
    <w:rsid w:val="007237B7"/>
    <w:rsid w:val="007254E0"/>
    <w:rsid w:val="00725CEB"/>
    <w:rsid w:val="00725DE5"/>
    <w:rsid w:val="00730D78"/>
    <w:rsid w:val="007411EA"/>
    <w:rsid w:val="0074221A"/>
    <w:rsid w:val="00745DE7"/>
    <w:rsid w:val="00747B96"/>
    <w:rsid w:val="007545DF"/>
    <w:rsid w:val="00763793"/>
    <w:rsid w:val="00773E8A"/>
    <w:rsid w:val="00781B12"/>
    <w:rsid w:val="0078462E"/>
    <w:rsid w:val="007A262A"/>
    <w:rsid w:val="007C0769"/>
    <w:rsid w:val="007C6AC4"/>
    <w:rsid w:val="007D4691"/>
    <w:rsid w:val="007E02AD"/>
    <w:rsid w:val="007F2A1F"/>
    <w:rsid w:val="007F659D"/>
    <w:rsid w:val="00807BF9"/>
    <w:rsid w:val="00810BB0"/>
    <w:rsid w:val="00812EDB"/>
    <w:rsid w:val="00813E9D"/>
    <w:rsid w:val="008162FA"/>
    <w:rsid w:val="00832FC8"/>
    <w:rsid w:val="008414C6"/>
    <w:rsid w:val="00846EE3"/>
    <w:rsid w:val="00852E3A"/>
    <w:rsid w:val="00864C55"/>
    <w:rsid w:val="00873F0B"/>
    <w:rsid w:val="008750F3"/>
    <w:rsid w:val="00876179"/>
    <w:rsid w:val="00881A14"/>
    <w:rsid w:val="00883B75"/>
    <w:rsid w:val="008A340E"/>
    <w:rsid w:val="008B0138"/>
    <w:rsid w:val="008B0907"/>
    <w:rsid w:val="008F3273"/>
    <w:rsid w:val="008F5B2A"/>
    <w:rsid w:val="00904F97"/>
    <w:rsid w:val="00906409"/>
    <w:rsid w:val="0090668C"/>
    <w:rsid w:val="00917E1A"/>
    <w:rsid w:val="009215D3"/>
    <w:rsid w:val="00921FC7"/>
    <w:rsid w:val="0095345D"/>
    <w:rsid w:val="00955755"/>
    <w:rsid w:val="00956D75"/>
    <w:rsid w:val="009725A7"/>
    <w:rsid w:val="00976082"/>
    <w:rsid w:val="00980CD6"/>
    <w:rsid w:val="00981BE9"/>
    <w:rsid w:val="009A4733"/>
    <w:rsid w:val="009B406B"/>
    <w:rsid w:val="009B6B8C"/>
    <w:rsid w:val="009C119A"/>
    <w:rsid w:val="009F241C"/>
    <w:rsid w:val="00A007D4"/>
    <w:rsid w:val="00A041D1"/>
    <w:rsid w:val="00A0638D"/>
    <w:rsid w:val="00A06949"/>
    <w:rsid w:val="00A16A89"/>
    <w:rsid w:val="00A22E51"/>
    <w:rsid w:val="00A3348F"/>
    <w:rsid w:val="00A541AE"/>
    <w:rsid w:val="00A57D12"/>
    <w:rsid w:val="00A71600"/>
    <w:rsid w:val="00A874AC"/>
    <w:rsid w:val="00A87587"/>
    <w:rsid w:val="00A90909"/>
    <w:rsid w:val="00A97BCA"/>
    <w:rsid w:val="00AB1B0A"/>
    <w:rsid w:val="00AB2B2D"/>
    <w:rsid w:val="00AB7101"/>
    <w:rsid w:val="00AC7A39"/>
    <w:rsid w:val="00AE0849"/>
    <w:rsid w:val="00AE48DE"/>
    <w:rsid w:val="00AF3B71"/>
    <w:rsid w:val="00AF7207"/>
    <w:rsid w:val="00B01BE8"/>
    <w:rsid w:val="00B02C26"/>
    <w:rsid w:val="00B06BFA"/>
    <w:rsid w:val="00B07C17"/>
    <w:rsid w:val="00B12ADE"/>
    <w:rsid w:val="00B12F50"/>
    <w:rsid w:val="00B21F65"/>
    <w:rsid w:val="00B26CD9"/>
    <w:rsid w:val="00B33796"/>
    <w:rsid w:val="00B34BF1"/>
    <w:rsid w:val="00B41599"/>
    <w:rsid w:val="00B42C49"/>
    <w:rsid w:val="00B43BC5"/>
    <w:rsid w:val="00B64D73"/>
    <w:rsid w:val="00B665DB"/>
    <w:rsid w:val="00B67088"/>
    <w:rsid w:val="00B75726"/>
    <w:rsid w:val="00B864A5"/>
    <w:rsid w:val="00B87F5B"/>
    <w:rsid w:val="00B943B5"/>
    <w:rsid w:val="00B9701D"/>
    <w:rsid w:val="00BA3FFC"/>
    <w:rsid w:val="00BB00D6"/>
    <w:rsid w:val="00BB3D9D"/>
    <w:rsid w:val="00BC16BA"/>
    <w:rsid w:val="00BC1C35"/>
    <w:rsid w:val="00BC242E"/>
    <w:rsid w:val="00BE1234"/>
    <w:rsid w:val="00BE1FEB"/>
    <w:rsid w:val="00BE4115"/>
    <w:rsid w:val="00BE71C6"/>
    <w:rsid w:val="00BF3F84"/>
    <w:rsid w:val="00C032E3"/>
    <w:rsid w:val="00C05ECE"/>
    <w:rsid w:val="00C105AC"/>
    <w:rsid w:val="00C116E5"/>
    <w:rsid w:val="00C12844"/>
    <w:rsid w:val="00C138DE"/>
    <w:rsid w:val="00C153EF"/>
    <w:rsid w:val="00C257F8"/>
    <w:rsid w:val="00C26DFA"/>
    <w:rsid w:val="00C275B0"/>
    <w:rsid w:val="00C318DC"/>
    <w:rsid w:val="00C418F6"/>
    <w:rsid w:val="00C55CAF"/>
    <w:rsid w:val="00C81B52"/>
    <w:rsid w:val="00C91D8F"/>
    <w:rsid w:val="00CC3F96"/>
    <w:rsid w:val="00CC4E4C"/>
    <w:rsid w:val="00CC5BE9"/>
    <w:rsid w:val="00CD2B91"/>
    <w:rsid w:val="00CD5E56"/>
    <w:rsid w:val="00CE7416"/>
    <w:rsid w:val="00CE7878"/>
    <w:rsid w:val="00D1065B"/>
    <w:rsid w:val="00D10FA7"/>
    <w:rsid w:val="00D12394"/>
    <w:rsid w:val="00D15E64"/>
    <w:rsid w:val="00D1748E"/>
    <w:rsid w:val="00D21243"/>
    <w:rsid w:val="00D23A11"/>
    <w:rsid w:val="00D2418D"/>
    <w:rsid w:val="00D262D0"/>
    <w:rsid w:val="00D35987"/>
    <w:rsid w:val="00D4205A"/>
    <w:rsid w:val="00D46DC8"/>
    <w:rsid w:val="00D52994"/>
    <w:rsid w:val="00D62770"/>
    <w:rsid w:val="00D82066"/>
    <w:rsid w:val="00D83ED6"/>
    <w:rsid w:val="00D966E4"/>
    <w:rsid w:val="00DA1055"/>
    <w:rsid w:val="00DA20B6"/>
    <w:rsid w:val="00DB794E"/>
    <w:rsid w:val="00DC0B9A"/>
    <w:rsid w:val="00DC2CD7"/>
    <w:rsid w:val="00DD0391"/>
    <w:rsid w:val="00DD43E5"/>
    <w:rsid w:val="00DD762F"/>
    <w:rsid w:val="00DE23BC"/>
    <w:rsid w:val="00DF1C61"/>
    <w:rsid w:val="00DF3C53"/>
    <w:rsid w:val="00DF4C7F"/>
    <w:rsid w:val="00DF545D"/>
    <w:rsid w:val="00E10F80"/>
    <w:rsid w:val="00E2128A"/>
    <w:rsid w:val="00E21652"/>
    <w:rsid w:val="00E31336"/>
    <w:rsid w:val="00E32C7D"/>
    <w:rsid w:val="00E34504"/>
    <w:rsid w:val="00E41BAC"/>
    <w:rsid w:val="00E53E21"/>
    <w:rsid w:val="00E54E7D"/>
    <w:rsid w:val="00E727C8"/>
    <w:rsid w:val="00E731B7"/>
    <w:rsid w:val="00E95B3B"/>
    <w:rsid w:val="00EB021E"/>
    <w:rsid w:val="00EC23F1"/>
    <w:rsid w:val="00EE387B"/>
    <w:rsid w:val="00EE5786"/>
    <w:rsid w:val="00F04949"/>
    <w:rsid w:val="00F10469"/>
    <w:rsid w:val="00F12038"/>
    <w:rsid w:val="00F21791"/>
    <w:rsid w:val="00F22A3E"/>
    <w:rsid w:val="00F2579B"/>
    <w:rsid w:val="00F31F21"/>
    <w:rsid w:val="00F3489B"/>
    <w:rsid w:val="00F405F6"/>
    <w:rsid w:val="00F509CB"/>
    <w:rsid w:val="00F512E2"/>
    <w:rsid w:val="00F56132"/>
    <w:rsid w:val="00F638C9"/>
    <w:rsid w:val="00F644BC"/>
    <w:rsid w:val="00F655C5"/>
    <w:rsid w:val="00F82AD9"/>
    <w:rsid w:val="00F863CD"/>
    <w:rsid w:val="00F96F2F"/>
    <w:rsid w:val="00FA1503"/>
    <w:rsid w:val="00FD1C2A"/>
    <w:rsid w:val="00FE6532"/>
    <w:rsid w:val="00FF1F1E"/>
    <w:rsid w:val="00FF4243"/>
    <w:rsid w:val="00FF6A53"/>
    <w:rsid w:val="00FF6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numPr>
        <w:ilvl w:val="1"/>
        <w:numId w:val="1"/>
      </w:numPr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04084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04084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04084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04084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04084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04084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04084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basedOn w:val="Normal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rsid w:val="002875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olosommario">
    <w:name w:val="TOC Heading"/>
    <w:basedOn w:val="Titolo1"/>
    <w:next w:val="Normale"/>
    <w:uiPriority w:val="39"/>
    <w:unhideWhenUsed/>
    <w:qFormat/>
    <w:rsid w:val="00AE48DE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DE23BC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DE23BC"/>
    <w:rPr>
      <w:color w:val="0000FF" w:themeColor="hyperlink"/>
      <w:u w:val="single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701D7A"/>
    <w:pPr>
      <w:spacing w:after="100"/>
      <w:ind w:left="220"/>
    </w:pPr>
    <w:rPr>
      <w:rFonts w:asciiTheme="minorHAnsi" w:eastAsiaTheme="minorEastAsia" w:hAnsiTheme="minorHAnsi" w:cstheme="minorBidi"/>
      <w:lang w:eastAsia="it-IT"/>
    </w:rPr>
  </w:style>
  <w:style w:type="paragraph" w:styleId="Sommario3">
    <w:name w:val="toc 3"/>
    <w:basedOn w:val="Normale"/>
    <w:next w:val="Normale"/>
    <w:autoRedefine/>
    <w:uiPriority w:val="39"/>
    <w:semiHidden/>
    <w:unhideWhenUsed/>
    <w:qFormat/>
    <w:rsid w:val="00701D7A"/>
    <w:pPr>
      <w:spacing w:after="100"/>
      <w:ind w:left="440"/>
    </w:pPr>
    <w:rPr>
      <w:rFonts w:asciiTheme="minorHAnsi" w:eastAsiaTheme="minorEastAsia" w:hAnsiTheme="minorHAnsi" w:cstheme="minorBidi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0408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040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0408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0408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0408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0408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0408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numPr>
        <w:ilvl w:val="1"/>
        <w:numId w:val="1"/>
      </w:numPr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04084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04084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04084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04084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04084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04084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04084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basedOn w:val="Normal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rsid w:val="002875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olosommario">
    <w:name w:val="TOC Heading"/>
    <w:basedOn w:val="Titolo1"/>
    <w:next w:val="Normale"/>
    <w:uiPriority w:val="39"/>
    <w:unhideWhenUsed/>
    <w:qFormat/>
    <w:rsid w:val="00AE48DE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DE23BC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DE23BC"/>
    <w:rPr>
      <w:color w:val="0000FF" w:themeColor="hyperlink"/>
      <w:u w:val="single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701D7A"/>
    <w:pPr>
      <w:spacing w:after="100"/>
      <w:ind w:left="220"/>
    </w:pPr>
    <w:rPr>
      <w:rFonts w:asciiTheme="minorHAnsi" w:eastAsiaTheme="minorEastAsia" w:hAnsiTheme="minorHAnsi" w:cstheme="minorBidi"/>
      <w:lang w:eastAsia="it-IT"/>
    </w:rPr>
  </w:style>
  <w:style w:type="paragraph" w:styleId="Sommario3">
    <w:name w:val="toc 3"/>
    <w:basedOn w:val="Normale"/>
    <w:next w:val="Normale"/>
    <w:autoRedefine/>
    <w:uiPriority w:val="39"/>
    <w:semiHidden/>
    <w:unhideWhenUsed/>
    <w:qFormat/>
    <w:rsid w:val="00701D7A"/>
    <w:pPr>
      <w:spacing w:after="100"/>
      <w:ind w:left="440"/>
    </w:pPr>
    <w:rPr>
      <w:rFonts w:asciiTheme="minorHAnsi" w:eastAsiaTheme="minorEastAsia" w:hAnsiTheme="minorHAnsi" w:cstheme="minorBidi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0408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040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0408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0408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0408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0408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0408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08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cacciapesca@regione.fvg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C15E3-FF50-4CF4-BC86-1F56ABFB1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6</Pages>
  <Words>2020</Words>
  <Characters>11520</Characters>
  <Application>Microsoft Office Word</Application>
  <DocSecurity>0</DocSecurity>
  <Lines>96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TLC</dc:creator>
  <cp:lastModifiedBy>Ciani Andrea</cp:lastModifiedBy>
  <cp:revision>81</cp:revision>
  <dcterms:created xsi:type="dcterms:W3CDTF">2017-03-30T13:50:00Z</dcterms:created>
  <dcterms:modified xsi:type="dcterms:W3CDTF">2017-06-22T09:13:00Z</dcterms:modified>
</cp:coreProperties>
</file>