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87" w:rsidRPr="00834987" w:rsidRDefault="00834987" w:rsidP="00834987">
      <w:pPr>
        <w:pStyle w:val="05arttitolo"/>
        <w:ind w:left="720"/>
        <w:jc w:val="center"/>
        <w:rPr>
          <w:b/>
          <w:color w:val="auto"/>
          <w:sz w:val="22"/>
          <w:szCs w:val="22"/>
        </w:rPr>
      </w:pPr>
      <w:bookmarkStart w:id="0" w:name="_GoBack"/>
      <w:r w:rsidRPr="00834987">
        <w:rPr>
          <w:b/>
          <w:bCs/>
          <w:color w:val="auto"/>
          <w:sz w:val="22"/>
          <w:szCs w:val="22"/>
        </w:rPr>
        <w:t>Campo di applicazione del regolamento (UE) n. 651/2014</w:t>
      </w:r>
    </w:p>
    <w:bookmarkEnd w:id="0"/>
    <w:p w:rsidR="00834987" w:rsidRPr="00C5128B" w:rsidRDefault="00834987" w:rsidP="00834987">
      <w:pPr>
        <w:pStyle w:val="05arttitolo"/>
        <w:spacing w:before="0" w:after="0"/>
        <w:ind w:left="72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</w:t>
      </w:r>
      <w:r w:rsidRPr="00C5128B">
        <w:rPr>
          <w:b/>
          <w:color w:val="auto"/>
          <w:sz w:val="22"/>
          <w:szCs w:val="22"/>
        </w:rPr>
        <w:t>ettori di attività e tipologie di aiuto ai sensi del regolamento (</w:t>
      </w:r>
      <w:r>
        <w:rPr>
          <w:b/>
          <w:color w:val="auto"/>
          <w:sz w:val="22"/>
          <w:szCs w:val="22"/>
        </w:rPr>
        <w:t>UE</w:t>
      </w:r>
      <w:r w:rsidRPr="00C5128B">
        <w:rPr>
          <w:b/>
          <w:color w:val="auto"/>
          <w:sz w:val="22"/>
          <w:szCs w:val="22"/>
        </w:rPr>
        <w:t>) n. 651/2014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1. Ai sensi dell’articolo 1, paragrafo 2, del regolamento (UE) 651/2014 non sono concessi aiuti: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a) per attività connesse all'esportazione verso paesi terzi o Stati membri, vale a dire gli aiuti direttamente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connessi ai quantitativi esportati, alla costituzione e gestione di una rete di distribuzione o ad altre spese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correnti connesse all'attività d'esportazione, fermo restando che, come evidenziato al considerando (9) del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regolamento (UE) 651/2014, non costituiscono in linea di principio aiuti ad attività connesse all'esportazione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gli aiuti inerenti ai costi di partecipazione a fiere commerciali, né quelli relativi a studi o servizi di consulenza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necessari per il lancio di nuovi prodotti o di prodotti già esistenti su un nuovo mercato in un altro Stato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membro o in un paese terzo;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b) subordinati all'uso di prodotti nazionali rispetto a quelli d'importazione.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c) Ai sensi dell’articolo 1, paragrafo 3 del regolamento (UE) 651/2014 non sono concessi aiuti nel settore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della pesca e dell'acquacoltura, disciplinati dal regolamento (UE) n. 1379/2013 del Parlamento europeo e del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Consiglio dell'11 dicembre 2013, relativo all'organizzazione comune dei mercati nel settore dei prodotti della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 xml:space="preserve">pesca e dell'acquacoltura. Ai sensi dell’articolo 1, paragrafo 3 del regolamento (UE) </w:t>
      </w:r>
      <w:r>
        <w:rPr>
          <w:color w:val="auto"/>
          <w:sz w:val="22"/>
          <w:szCs w:val="22"/>
        </w:rPr>
        <w:t>6</w:t>
      </w:r>
      <w:r w:rsidRPr="00443627">
        <w:rPr>
          <w:color w:val="auto"/>
          <w:sz w:val="22"/>
          <w:szCs w:val="22"/>
        </w:rPr>
        <w:t>51/2014, se un'impresa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operante nei settori esclusi opera anche in settori che rientrano nel campo di applicazione del presente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regolamento, il regolamento si applica agli aiuti concessi in relazione a questi ultimi settori o attività, 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condizione che sia possibile garantire, tramite mezzi adeguati quali la separazione delle attività o la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distinzione dei costi, che le attività esercitate nei settori esclusi non beneficiano degli aiuti concessi a norma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del regolamento.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2. Ai sensi dell’articolo 1, paragrafo 4 del regolamento (UE) 651/2014, non sono concessi aiuti a favore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delle imprese in difficoltà, a eccezione dei regimi destinati a ovviare ai danni arrecati da determinate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calamità naturali. Ai sensi dell’articolo 2, punto 18 del regolamento (UE) 651/2014, per impresa in difficoltà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si intende un'impresa che soddisfa almeno una delle seguenti circostanze: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a) nel caso di società a responsabilità limitata (diverse dalle PMI costituitesi da meno di tre anni), qualora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abbia perso più della metà del capitale sociale sottoscritto a causa di perdite cumulate. Ciò si verifica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quando la deduzione delle perdite cumulate dalle riserve (e da tutte le altre voci generalmente considerate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come parte dei fondi propri della società) dà luogo a un importo cumulativo negativo superiore alla metà del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capitale sociale sottoscritto. Ai fini della presente disposizione, per "società a responsabilità limitata" si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intendono in particolare le tipologie di imprese di cui all'allegato I della direttiva 2013/34/UE e, se del caso, il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 xml:space="preserve">"capitale sociale" </w:t>
      </w:r>
      <w:r>
        <w:rPr>
          <w:color w:val="auto"/>
          <w:sz w:val="22"/>
          <w:szCs w:val="22"/>
        </w:rPr>
        <w:t>c</w:t>
      </w:r>
      <w:r w:rsidRPr="00443627">
        <w:rPr>
          <w:color w:val="auto"/>
          <w:sz w:val="22"/>
          <w:szCs w:val="22"/>
        </w:rPr>
        <w:t>omprende eventuali premi di emissione;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b) nel caso di società in cui almeno alcuni soci abbiano la responsabilità illimitata per i debiti della società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(diverse dalle PMI costituitesi da meno di tre anni), qualora abbia perso più della metà dei fondi propri, quali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indicati nei conti della società, a causa di perdite cumulate. Ai fini della presente disposizione, per "società in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cui almeno alcuni soci abbiano la responsabilità illimitata per i debiti della società" si intendono in particolare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le tipologie di imprese di cui all'allegato II della direttiva 2013/34/UE;</w:t>
      </w:r>
    </w:p>
    <w:p w:rsidR="00834987" w:rsidRPr="0044362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c) qualora l'impresa sia oggetto di procedura concorsuale per insolvenza o soddisfi le condizioni previste dal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diritto nazionale per l'apertura nei suoi confronti di una tale procedura su richiesta dei suoi creditori;</w:t>
      </w:r>
    </w:p>
    <w:p w:rsidR="00834987" w:rsidRDefault="00834987" w:rsidP="00834987">
      <w:pPr>
        <w:pStyle w:val="05arttitolo"/>
        <w:ind w:left="720"/>
        <w:jc w:val="both"/>
        <w:rPr>
          <w:color w:val="auto"/>
          <w:sz w:val="22"/>
          <w:szCs w:val="22"/>
        </w:rPr>
      </w:pPr>
      <w:r w:rsidRPr="00443627">
        <w:rPr>
          <w:color w:val="auto"/>
          <w:sz w:val="22"/>
          <w:szCs w:val="22"/>
        </w:rPr>
        <w:t>d) qualora l'impresa abbia ricevuto un aiuto per il salvataggio e non abbia ancora rimborsato il prestito o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revocato la garanzia, o abbia ricevuto un aiuto per la ristrutturazione e sia ancora soggetta a un piano di</w:t>
      </w:r>
      <w:r>
        <w:rPr>
          <w:color w:val="auto"/>
          <w:sz w:val="22"/>
          <w:szCs w:val="22"/>
        </w:rPr>
        <w:t xml:space="preserve"> </w:t>
      </w:r>
      <w:r w:rsidRPr="00443627">
        <w:rPr>
          <w:color w:val="auto"/>
          <w:sz w:val="22"/>
          <w:szCs w:val="22"/>
        </w:rPr>
        <w:t>ristrutturazione.</w:t>
      </w:r>
    </w:p>
    <w:p w:rsidR="004F3334" w:rsidRDefault="004F3334"/>
    <w:sectPr w:rsidR="004F3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E0"/>
    <w:rsid w:val="000421E0"/>
    <w:rsid w:val="004F3334"/>
    <w:rsid w:val="008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420B-9914-485A-A696-4E637CC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arttitolo">
    <w:name w:val="05_art.titolo"/>
    <w:uiPriority w:val="99"/>
    <w:rsid w:val="00834987"/>
    <w:pPr>
      <w:spacing w:before="120" w:after="120" w:line="240" w:lineRule="auto"/>
    </w:pPr>
    <w:rPr>
      <w:rFonts w:ascii="DecimaWE Rg" w:eastAsia="Times New Roman" w:hAnsi="DecimaWE Rg" w:cs="DecimaWE Rg"/>
      <w:color w:val="000000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Scialino Ilaria</dc:creator>
  <cp:keywords/>
  <dc:description/>
  <cp:lastModifiedBy>Scialino Ilaria</cp:lastModifiedBy>
  <cp:revision>2</cp:revision>
  <dcterms:created xsi:type="dcterms:W3CDTF">2022-02-03T12:57:00Z</dcterms:created>
  <dcterms:modified xsi:type="dcterms:W3CDTF">2022-02-03T12:57:00Z</dcterms:modified>
</cp:coreProperties>
</file>