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EB" w:rsidRDefault="007737EB" w:rsidP="00E80734">
      <w:pPr>
        <w:spacing w:after="0" w:line="240" w:lineRule="auto"/>
        <w:jc w:val="center"/>
        <w:rPr>
          <w:rFonts w:ascii="DecimaWE Rg" w:hAnsi="DecimaWE Rg"/>
          <w:b/>
          <w:bCs/>
          <w:color w:val="000000"/>
          <w:sz w:val="24"/>
          <w:szCs w:val="24"/>
          <w:shd w:val="clear" w:color="auto" w:fill="FBFCFD"/>
        </w:rPr>
      </w:pPr>
      <w:bookmarkStart w:id="0" w:name="_GoBack"/>
      <w:bookmarkEnd w:id="0"/>
      <w:r>
        <w:rPr>
          <w:rFonts w:ascii="DecimaWE Rg" w:hAnsi="DecimaWE Rg"/>
          <w:b/>
          <w:bCs/>
          <w:color w:val="000000"/>
          <w:sz w:val="24"/>
          <w:szCs w:val="24"/>
          <w:shd w:val="clear" w:color="auto" w:fill="FBFCFD"/>
        </w:rPr>
        <w:t>MODALITÀ</w:t>
      </w:r>
      <w:r w:rsidRPr="00E80734">
        <w:rPr>
          <w:rFonts w:ascii="DecimaWE Rg" w:hAnsi="DecimaWE Rg"/>
          <w:b/>
          <w:bCs/>
          <w:color w:val="000000"/>
          <w:sz w:val="24"/>
          <w:szCs w:val="24"/>
          <w:shd w:val="clear" w:color="auto" w:fill="FBFCFD"/>
        </w:rPr>
        <w:t xml:space="preserve"> </w:t>
      </w:r>
      <w:r>
        <w:rPr>
          <w:rFonts w:ascii="DecimaWE Rg" w:hAnsi="DecimaWE Rg"/>
          <w:b/>
          <w:bCs/>
          <w:color w:val="000000"/>
          <w:sz w:val="24"/>
          <w:szCs w:val="24"/>
          <w:shd w:val="clear" w:color="auto" w:fill="FBFCFD"/>
        </w:rPr>
        <w:t>DI ATTIVAZIONE DI GARANZIE DIRETTE</w:t>
      </w:r>
    </w:p>
    <w:p w:rsidR="007737EB" w:rsidRDefault="007737EB" w:rsidP="00E80734">
      <w:pPr>
        <w:spacing w:after="0" w:line="240" w:lineRule="auto"/>
        <w:jc w:val="center"/>
        <w:rPr>
          <w:rFonts w:ascii="DecimaWE Rg" w:hAnsi="DecimaWE Rg"/>
          <w:b/>
          <w:bCs/>
          <w:color w:val="000000"/>
          <w:sz w:val="24"/>
          <w:szCs w:val="24"/>
          <w:shd w:val="clear" w:color="auto" w:fill="FBFCFD"/>
        </w:rPr>
      </w:pPr>
      <w:r>
        <w:rPr>
          <w:rFonts w:ascii="DecimaWE Rg" w:hAnsi="DecimaWE Rg"/>
          <w:b/>
          <w:bCs/>
          <w:color w:val="000000"/>
          <w:sz w:val="24"/>
          <w:szCs w:val="24"/>
          <w:shd w:val="clear" w:color="auto" w:fill="FBFCFD"/>
        </w:rPr>
        <w:t>DA PARTE DEGLI ISTITUTI BANCARI</w:t>
      </w:r>
    </w:p>
    <w:p w:rsidR="00E80734" w:rsidRPr="00E80734" w:rsidRDefault="007737EB" w:rsidP="00E80734">
      <w:pPr>
        <w:spacing w:after="0" w:line="240" w:lineRule="auto"/>
        <w:jc w:val="center"/>
        <w:rPr>
          <w:rFonts w:ascii="DecimaWE Rg" w:hAnsi="DecimaWE Rg"/>
          <w:b/>
          <w:bCs/>
          <w:color w:val="000000"/>
          <w:sz w:val="24"/>
          <w:szCs w:val="24"/>
          <w:shd w:val="clear" w:color="auto" w:fill="FBFCFD"/>
        </w:rPr>
      </w:pPr>
      <w:r>
        <w:rPr>
          <w:rFonts w:ascii="DecimaWE Rg" w:hAnsi="DecimaWE Rg"/>
          <w:b/>
          <w:bCs/>
          <w:color w:val="000000"/>
          <w:sz w:val="24"/>
          <w:szCs w:val="24"/>
          <w:shd w:val="clear" w:color="auto" w:fill="FBFCFD"/>
        </w:rPr>
        <w:t xml:space="preserve">SULLA </w:t>
      </w:r>
      <w:r w:rsidR="00E80734" w:rsidRPr="00E80734">
        <w:rPr>
          <w:rFonts w:ascii="DecimaWE Rg" w:hAnsi="DecimaWE Rg"/>
          <w:b/>
          <w:bCs/>
          <w:color w:val="000000"/>
          <w:sz w:val="24"/>
          <w:szCs w:val="24"/>
          <w:shd w:val="clear" w:color="auto" w:fill="FBFCFD"/>
        </w:rPr>
        <w:t>SEZIONE SPECIALE FRIULI VENEZIA GIULIA DEL FONDO CENTRALE DI GARANZIA</w:t>
      </w:r>
    </w:p>
    <w:p w:rsidR="00E80734" w:rsidRDefault="00E80734" w:rsidP="00A309F0">
      <w:pPr>
        <w:spacing w:after="0" w:line="240" w:lineRule="auto"/>
        <w:jc w:val="both"/>
        <w:rPr>
          <w:rFonts w:ascii="DecimaWE Rg" w:hAnsi="DecimaWE Rg"/>
          <w:bCs/>
          <w:color w:val="000000"/>
          <w:sz w:val="24"/>
          <w:szCs w:val="24"/>
          <w:shd w:val="clear" w:color="auto" w:fill="FBFCFD"/>
        </w:rPr>
      </w:pPr>
    </w:p>
    <w:p w:rsidR="00E80734" w:rsidRPr="00E80734" w:rsidRDefault="00A33BAF" w:rsidP="00E80734">
      <w:pPr>
        <w:spacing w:after="0" w:line="240" w:lineRule="auto"/>
        <w:jc w:val="center"/>
        <w:rPr>
          <w:rFonts w:ascii="DecimaWE Rg" w:hAnsi="DecimaWE Rg"/>
          <w:bCs/>
          <w:i/>
          <w:color w:val="000000"/>
          <w:sz w:val="24"/>
          <w:szCs w:val="24"/>
          <w:shd w:val="clear" w:color="auto" w:fill="FBFCFD"/>
        </w:rPr>
      </w:pPr>
      <w:r>
        <w:rPr>
          <w:rFonts w:ascii="DecimaWE Rg" w:hAnsi="DecimaWE Rg"/>
          <w:bCs/>
          <w:i/>
          <w:color w:val="000000"/>
          <w:sz w:val="24"/>
          <w:szCs w:val="24"/>
          <w:shd w:val="clear" w:color="auto" w:fill="FBFCFD"/>
        </w:rPr>
        <w:t>Marzo 2020</w:t>
      </w:r>
    </w:p>
    <w:p w:rsidR="00E80734" w:rsidRDefault="00E80734" w:rsidP="00A309F0">
      <w:pPr>
        <w:spacing w:after="0" w:line="240" w:lineRule="auto"/>
        <w:jc w:val="both"/>
        <w:rPr>
          <w:rFonts w:ascii="DecimaWE Rg" w:hAnsi="DecimaWE Rg"/>
          <w:bCs/>
          <w:color w:val="000000"/>
          <w:sz w:val="24"/>
          <w:szCs w:val="24"/>
          <w:shd w:val="clear" w:color="auto" w:fill="FBFCFD"/>
        </w:rPr>
      </w:pPr>
    </w:p>
    <w:p w:rsidR="00A309F0" w:rsidRDefault="00A309F0" w:rsidP="00A309F0">
      <w:pPr>
        <w:spacing w:after="0" w:line="240" w:lineRule="auto"/>
        <w:jc w:val="both"/>
        <w:rPr>
          <w:rFonts w:ascii="DecimaWE Rg" w:hAnsi="DecimaWE Rg"/>
          <w:bCs/>
          <w:color w:val="000000"/>
          <w:sz w:val="24"/>
          <w:szCs w:val="24"/>
          <w:shd w:val="clear" w:color="auto" w:fill="FBFCFD"/>
        </w:rPr>
      </w:pPr>
      <w:r w:rsidRPr="00A309F0">
        <w:rPr>
          <w:rFonts w:ascii="DecimaWE Rg" w:hAnsi="DecimaWE Rg"/>
          <w:bCs/>
          <w:color w:val="000000"/>
          <w:sz w:val="24"/>
          <w:szCs w:val="24"/>
          <w:shd w:val="clear" w:color="auto" w:fill="FBFCFD"/>
        </w:rPr>
        <w:t>Con l’Accordo del 22 dicembre 2017 tra il Ministero dello sviluppo economico, il Ministero dell’economia e delle Finanze e la Regione Autonoma Friuli Venezia Giulia, è stata concordata</w:t>
      </w:r>
      <w:r w:rsidR="00205BB2">
        <w:rPr>
          <w:rFonts w:ascii="DecimaWE Rg" w:hAnsi="DecimaWE Rg"/>
          <w:bCs/>
          <w:color w:val="000000"/>
          <w:sz w:val="24"/>
          <w:szCs w:val="24"/>
          <w:shd w:val="clear" w:color="auto" w:fill="FBFCFD"/>
        </w:rPr>
        <w:t xml:space="preserve">, </w:t>
      </w:r>
      <w:r w:rsidR="00205BB2" w:rsidRPr="00A309F0">
        <w:rPr>
          <w:rFonts w:ascii="DecimaWE Rg" w:hAnsi="DecimaWE Rg"/>
          <w:bCs/>
          <w:color w:val="000000"/>
          <w:sz w:val="24"/>
          <w:szCs w:val="24"/>
          <w:shd w:val="clear" w:color="auto" w:fill="FBFCFD"/>
        </w:rPr>
        <w:t xml:space="preserve">in attuazione dell’Azione 2.4. del </w:t>
      </w:r>
      <w:r w:rsidR="007C35A3">
        <w:rPr>
          <w:rFonts w:ascii="DecimaWE Rg" w:hAnsi="DecimaWE Rg"/>
          <w:bCs/>
          <w:color w:val="000000"/>
          <w:sz w:val="24"/>
          <w:szCs w:val="24"/>
          <w:shd w:val="clear" w:color="auto" w:fill="FBFCFD"/>
        </w:rPr>
        <w:t>Programma operativo regionale del Fondo europeo di sviluppo regionale</w:t>
      </w:r>
      <w:r w:rsidR="007C35A3" w:rsidRPr="00A309F0">
        <w:rPr>
          <w:rFonts w:ascii="DecimaWE Rg" w:hAnsi="DecimaWE Rg"/>
          <w:bCs/>
          <w:color w:val="000000"/>
          <w:sz w:val="24"/>
          <w:szCs w:val="24"/>
          <w:shd w:val="clear" w:color="auto" w:fill="FBFCFD"/>
        </w:rPr>
        <w:t xml:space="preserve"> </w:t>
      </w:r>
      <w:r w:rsidR="007C35A3">
        <w:rPr>
          <w:rFonts w:ascii="DecimaWE Rg" w:hAnsi="DecimaWE Rg"/>
          <w:bCs/>
          <w:color w:val="000000"/>
          <w:sz w:val="24"/>
          <w:szCs w:val="24"/>
          <w:shd w:val="clear" w:color="auto" w:fill="FBFCFD"/>
        </w:rPr>
        <w:t xml:space="preserve">- </w:t>
      </w:r>
      <w:r w:rsidR="00205BB2" w:rsidRPr="00A309F0">
        <w:rPr>
          <w:rFonts w:ascii="DecimaWE Rg" w:hAnsi="DecimaWE Rg"/>
          <w:bCs/>
          <w:color w:val="000000"/>
          <w:sz w:val="24"/>
          <w:szCs w:val="24"/>
          <w:shd w:val="clear" w:color="auto" w:fill="FBFCFD"/>
        </w:rPr>
        <w:t>POR FESR 2014-2020,</w:t>
      </w:r>
      <w:r w:rsidRPr="00A309F0">
        <w:rPr>
          <w:rFonts w:ascii="DecimaWE Rg" w:hAnsi="DecimaWE Rg"/>
          <w:bCs/>
          <w:color w:val="000000"/>
          <w:sz w:val="24"/>
          <w:szCs w:val="24"/>
          <w:shd w:val="clear" w:color="auto" w:fill="FBFCFD"/>
        </w:rPr>
        <w:t xml:space="preserve"> l’istituzione della </w:t>
      </w:r>
      <w:r w:rsidRPr="00917D0D">
        <w:rPr>
          <w:rFonts w:ascii="DecimaWE Rg" w:hAnsi="DecimaWE Rg"/>
          <w:bCs/>
          <w:color w:val="000000"/>
          <w:sz w:val="24"/>
          <w:szCs w:val="24"/>
          <w:u w:val="single"/>
          <w:shd w:val="clear" w:color="auto" w:fill="FBFCFD"/>
        </w:rPr>
        <w:t>Sezione speciale FVG presso il Fondo di garanzia per le piccole e medie imprese</w:t>
      </w:r>
      <w:r w:rsidRPr="00A309F0">
        <w:rPr>
          <w:rFonts w:ascii="DecimaWE Rg" w:hAnsi="DecimaWE Rg"/>
          <w:bCs/>
          <w:color w:val="000000"/>
          <w:sz w:val="24"/>
          <w:szCs w:val="24"/>
          <w:shd w:val="clear" w:color="auto" w:fill="FBFCFD"/>
        </w:rPr>
        <w:t>.</w:t>
      </w:r>
    </w:p>
    <w:p w:rsidR="00A309F0" w:rsidRDefault="00A309F0" w:rsidP="00A309F0">
      <w:pPr>
        <w:spacing w:after="0" w:line="240" w:lineRule="auto"/>
        <w:jc w:val="both"/>
        <w:rPr>
          <w:rFonts w:ascii="DecimaWE Rg" w:hAnsi="DecimaWE Rg"/>
          <w:bCs/>
          <w:color w:val="000000"/>
          <w:sz w:val="24"/>
          <w:szCs w:val="24"/>
          <w:shd w:val="clear" w:color="auto" w:fill="FBFCFD"/>
        </w:rPr>
      </w:pPr>
    </w:p>
    <w:p w:rsidR="000D55A0" w:rsidRPr="00A309F0" w:rsidRDefault="000D55A0" w:rsidP="000D55A0">
      <w:p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A309F0">
        <w:rPr>
          <w:rFonts w:ascii="DecimaWE Rg" w:hAnsi="DecimaWE Rg"/>
          <w:sz w:val="24"/>
          <w:szCs w:val="24"/>
        </w:rPr>
        <w:t>L’atti</w:t>
      </w:r>
      <w:r w:rsidR="007C35A3">
        <w:rPr>
          <w:rFonts w:ascii="DecimaWE Rg" w:hAnsi="DecimaWE Rg"/>
          <w:sz w:val="24"/>
          <w:szCs w:val="24"/>
        </w:rPr>
        <w:t xml:space="preserve">vazione dell’intervento della </w:t>
      </w:r>
      <w:r w:rsidRPr="00A309F0">
        <w:rPr>
          <w:rFonts w:ascii="DecimaWE Rg" w:hAnsi="DecimaWE Rg"/>
          <w:sz w:val="24"/>
          <w:szCs w:val="24"/>
        </w:rPr>
        <w:t>Sezione speciale FVG consente:</w:t>
      </w:r>
    </w:p>
    <w:p w:rsidR="000D55A0" w:rsidRPr="008046D1" w:rsidRDefault="000D55A0" w:rsidP="008046D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917D0D">
        <w:rPr>
          <w:rFonts w:ascii="DecimaWE Rg" w:hAnsi="DecimaWE Rg"/>
          <w:sz w:val="24"/>
          <w:szCs w:val="24"/>
        </w:rPr>
        <w:t xml:space="preserve">l’aumento della copertura </w:t>
      </w:r>
      <w:r w:rsidR="005971F1" w:rsidRPr="00917D0D">
        <w:rPr>
          <w:rFonts w:ascii="DecimaWE Rg" w:hAnsi="DecimaWE Rg"/>
          <w:sz w:val="24"/>
          <w:szCs w:val="24"/>
        </w:rPr>
        <w:t>massima</w:t>
      </w:r>
      <w:r w:rsidRPr="005971F1">
        <w:rPr>
          <w:rFonts w:ascii="DecimaWE Rg" w:hAnsi="DecimaWE Rg"/>
          <w:sz w:val="24"/>
          <w:szCs w:val="24"/>
        </w:rPr>
        <w:t xml:space="preserve"> </w:t>
      </w:r>
      <w:r w:rsidRPr="008046D1">
        <w:rPr>
          <w:rFonts w:ascii="DecimaWE Rg" w:hAnsi="DecimaWE Rg"/>
          <w:sz w:val="24"/>
          <w:szCs w:val="24"/>
        </w:rPr>
        <w:t xml:space="preserve">del Fondo centrale, rispetto alle misure previste dalle Disposizioni operative, </w:t>
      </w:r>
      <w:r w:rsidRPr="005971F1">
        <w:rPr>
          <w:rFonts w:ascii="DecimaWE Rg" w:hAnsi="DecimaWE Rg"/>
          <w:sz w:val="24"/>
          <w:szCs w:val="24"/>
          <w:u w:val="single"/>
        </w:rPr>
        <w:t>fino all’80% dell’importo dell’operazione finanziaria, per la garanzia diretta, e fino al</w:t>
      </w:r>
      <w:r w:rsidR="007C35A3">
        <w:rPr>
          <w:rFonts w:ascii="DecimaWE Rg" w:hAnsi="DecimaWE Rg"/>
          <w:sz w:val="24"/>
          <w:szCs w:val="24"/>
          <w:u w:val="single"/>
        </w:rPr>
        <w:t>l’80% dell’importo garantito dal</w:t>
      </w:r>
      <w:r w:rsidRPr="005971F1">
        <w:rPr>
          <w:rFonts w:ascii="DecimaWE Rg" w:hAnsi="DecimaWE Rg"/>
          <w:sz w:val="24"/>
          <w:szCs w:val="24"/>
          <w:u w:val="single"/>
        </w:rPr>
        <w:t xml:space="preserve"> confidi, nel caso di </w:t>
      </w:r>
      <w:r w:rsidR="00665E5A">
        <w:rPr>
          <w:rFonts w:ascii="DecimaWE Rg" w:hAnsi="DecimaWE Rg"/>
          <w:sz w:val="24"/>
          <w:szCs w:val="24"/>
          <w:u w:val="single"/>
        </w:rPr>
        <w:t>riassicurazione</w:t>
      </w:r>
      <w:r w:rsidRPr="008046D1">
        <w:rPr>
          <w:rFonts w:ascii="DecimaWE Rg" w:hAnsi="DecimaWE Rg"/>
          <w:sz w:val="24"/>
          <w:szCs w:val="24"/>
        </w:rPr>
        <w:t>;</w:t>
      </w:r>
    </w:p>
    <w:p w:rsidR="000D55A0" w:rsidRPr="008046D1" w:rsidRDefault="000D55A0" w:rsidP="008046D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917D0D">
        <w:rPr>
          <w:rFonts w:ascii="DecimaWE Rg" w:hAnsi="DecimaWE Rg"/>
          <w:sz w:val="24"/>
          <w:szCs w:val="24"/>
        </w:rPr>
        <w:t xml:space="preserve">l’aumento della copertura </w:t>
      </w:r>
      <w:r w:rsidRPr="007C35A3">
        <w:rPr>
          <w:rFonts w:ascii="DecimaWE Rg" w:hAnsi="DecimaWE Rg"/>
          <w:sz w:val="24"/>
          <w:szCs w:val="24"/>
        </w:rPr>
        <w:t>massima</w:t>
      </w:r>
      <w:r w:rsidR="007C35A3" w:rsidRPr="007C35A3">
        <w:rPr>
          <w:rFonts w:ascii="DecimaWE Rg" w:hAnsi="DecimaWE Rg"/>
          <w:sz w:val="24"/>
          <w:szCs w:val="24"/>
        </w:rPr>
        <w:t xml:space="preserve"> </w:t>
      </w:r>
      <w:r w:rsidRPr="007C35A3">
        <w:rPr>
          <w:rFonts w:ascii="DecimaWE Rg" w:hAnsi="DecimaWE Rg"/>
          <w:sz w:val="24"/>
          <w:szCs w:val="24"/>
        </w:rPr>
        <w:t>d</w:t>
      </w:r>
      <w:r w:rsidRPr="008046D1">
        <w:rPr>
          <w:rFonts w:ascii="DecimaWE Rg" w:hAnsi="DecimaWE Rg"/>
          <w:sz w:val="24"/>
          <w:szCs w:val="24"/>
        </w:rPr>
        <w:t xml:space="preserve">el Fondo centrale </w:t>
      </w:r>
      <w:r w:rsidRPr="00917D0D">
        <w:rPr>
          <w:rFonts w:ascii="DecimaWE Rg" w:hAnsi="DecimaWE Rg"/>
          <w:sz w:val="24"/>
          <w:szCs w:val="24"/>
        </w:rPr>
        <w:t>sui portafogli di finanziamenti</w:t>
      </w:r>
      <w:r w:rsidRPr="008046D1">
        <w:rPr>
          <w:rFonts w:ascii="DecimaWE Rg" w:hAnsi="DecimaWE Rg"/>
          <w:sz w:val="24"/>
          <w:szCs w:val="24"/>
        </w:rPr>
        <w:t xml:space="preserve"> attraverso la sottoscrizione di una </w:t>
      </w:r>
      <w:r w:rsidRPr="00917D0D">
        <w:rPr>
          <w:rFonts w:ascii="DecimaWE Rg" w:hAnsi="DecimaWE Rg"/>
          <w:sz w:val="24"/>
          <w:szCs w:val="24"/>
          <w:u w:val="single"/>
        </w:rPr>
        <w:t xml:space="preserve">quota addizionale della </w:t>
      </w:r>
      <w:r w:rsidRPr="00D8292B">
        <w:rPr>
          <w:rFonts w:ascii="DecimaWE Rg" w:hAnsi="DecimaWE Rg"/>
          <w:i/>
          <w:sz w:val="24"/>
          <w:szCs w:val="24"/>
          <w:u w:val="single"/>
        </w:rPr>
        <w:t>tranche junior</w:t>
      </w:r>
      <w:r w:rsidRPr="008046D1">
        <w:rPr>
          <w:rFonts w:ascii="DecimaWE Rg" w:hAnsi="DecimaWE Rg"/>
          <w:sz w:val="24"/>
          <w:szCs w:val="24"/>
        </w:rPr>
        <w:t xml:space="preserve"> a carico del Fondo centrale e/o della </w:t>
      </w:r>
      <w:r w:rsidRPr="00917D0D">
        <w:rPr>
          <w:rFonts w:ascii="DecimaWE Rg" w:hAnsi="DecimaWE Rg"/>
          <w:sz w:val="24"/>
          <w:szCs w:val="24"/>
          <w:u w:val="single"/>
        </w:rPr>
        <w:t xml:space="preserve">sottoscrizione della </w:t>
      </w:r>
      <w:r w:rsidRPr="00D8292B">
        <w:rPr>
          <w:rFonts w:ascii="DecimaWE Rg" w:hAnsi="DecimaWE Rg"/>
          <w:i/>
          <w:sz w:val="24"/>
          <w:szCs w:val="24"/>
          <w:u w:val="single"/>
        </w:rPr>
        <w:t>tranche mezzanine</w:t>
      </w:r>
      <w:r w:rsidRPr="008046D1">
        <w:rPr>
          <w:rFonts w:ascii="DecimaWE Rg" w:hAnsi="DecimaWE Rg"/>
          <w:sz w:val="24"/>
          <w:szCs w:val="24"/>
        </w:rPr>
        <w:t xml:space="preserve"> dei portafogli stessi;</w:t>
      </w:r>
    </w:p>
    <w:p w:rsidR="000D55A0" w:rsidRPr="008046D1" w:rsidRDefault="000D55A0" w:rsidP="008046D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8046D1">
        <w:rPr>
          <w:rFonts w:ascii="DecimaWE Rg" w:hAnsi="DecimaWE Rg"/>
          <w:sz w:val="24"/>
          <w:szCs w:val="24"/>
        </w:rPr>
        <w:t xml:space="preserve">il </w:t>
      </w:r>
      <w:r w:rsidRPr="00917D0D">
        <w:rPr>
          <w:rFonts w:ascii="DecimaWE Rg" w:hAnsi="DecimaWE Rg"/>
          <w:sz w:val="24"/>
          <w:szCs w:val="24"/>
          <w:u w:val="single"/>
        </w:rPr>
        <w:t xml:space="preserve">pagamento delle commissioni </w:t>
      </w:r>
      <w:r w:rsidRPr="00D8292B">
        <w:rPr>
          <w:rFonts w:ascii="DecimaWE Rg" w:hAnsi="DecimaWE Rg"/>
          <w:i/>
          <w:sz w:val="24"/>
          <w:szCs w:val="24"/>
          <w:u w:val="single"/>
        </w:rPr>
        <w:t>una tantum</w:t>
      </w:r>
      <w:r w:rsidRPr="008046D1">
        <w:rPr>
          <w:rFonts w:ascii="DecimaWE Rg" w:hAnsi="DecimaWE Rg"/>
          <w:sz w:val="24"/>
          <w:szCs w:val="24"/>
        </w:rPr>
        <w:t xml:space="preserve"> eventualmente previste dal Fondo centrale sia per le singole operazioni sia per i portafogli di finanziamenti, ogni qual volta la Sezione </w:t>
      </w:r>
      <w:r w:rsidR="007C35A3" w:rsidRPr="00A309F0">
        <w:rPr>
          <w:rFonts w:ascii="DecimaWE Rg" w:hAnsi="DecimaWE Rg"/>
          <w:sz w:val="24"/>
          <w:szCs w:val="24"/>
        </w:rPr>
        <w:t>speciale FVG</w:t>
      </w:r>
      <w:r w:rsidRPr="008046D1">
        <w:rPr>
          <w:rFonts w:ascii="DecimaWE Rg" w:hAnsi="DecimaWE Rg"/>
          <w:sz w:val="24"/>
          <w:szCs w:val="24"/>
        </w:rPr>
        <w:t xml:space="preserve"> intervenga a copertura delle operazioni finanziarie.</w:t>
      </w:r>
    </w:p>
    <w:p w:rsidR="000D55A0" w:rsidRPr="00A309F0" w:rsidRDefault="000D55A0" w:rsidP="00A309F0">
      <w:pPr>
        <w:spacing w:after="0" w:line="240" w:lineRule="auto"/>
        <w:jc w:val="both"/>
        <w:rPr>
          <w:rFonts w:ascii="DecimaWE Rg" w:hAnsi="DecimaWE Rg"/>
          <w:bCs/>
          <w:color w:val="000000"/>
          <w:sz w:val="24"/>
          <w:szCs w:val="24"/>
          <w:shd w:val="clear" w:color="auto" w:fill="FBFCFD"/>
        </w:rPr>
      </w:pPr>
    </w:p>
    <w:p w:rsidR="00A309F0" w:rsidRPr="00A309F0" w:rsidRDefault="00A309F0" w:rsidP="00A309F0">
      <w:pPr>
        <w:spacing w:after="0" w:line="240" w:lineRule="auto"/>
        <w:jc w:val="both"/>
        <w:rPr>
          <w:rFonts w:ascii="DecimaWE Rg" w:hAnsi="DecimaWE Rg"/>
          <w:bCs/>
          <w:color w:val="000000"/>
          <w:sz w:val="24"/>
          <w:szCs w:val="24"/>
          <w:shd w:val="clear" w:color="auto" w:fill="FBFCFD"/>
        </w:rPr>
      </w:pPr>
      <w:r w:rsidRPr="00A309F0">
        <w:rPr>
          <w:rFonts w:ascii="DecimaWE Rg" w:hAnsi="DecimaWE Rg"/>
          <w:bCs/>
          <w:color w:val="000000"/>
          <w:sz w:val="24"/>
          <w:szCs w:val="24"/>
          <w:shd w:val="clear" w:color="auto" w:fill="FBFCFD"/>
        </w:rPr>
        <w:t>All’articolo 5 dell’Accordo è stabilito che:</w:t>
      </w:r>
    </w:p>
    <w:p w:rsidR="005D12CF" w:rsidRPr="00A309F0" w:rsidRDefault="005D12CF" w:rsidP="00A309F0">
      <w:pPr>
        <w:spacing w:after="0" w:line="240" w:lineRule="auto"/>
        <w:jc w:val="both"/>
        <w:rPr>
          <w:rFonts w:ascii="DecimaWE Rg" w:hAnsi="DecimaWE Rg"/>
          <w:i/>
          <w:sz w:val="24"/>
          <w:szCs w:val="24"/>
        </w:rPr>
      </w:pPr>
      <w:r w:rsidRPr="00A309F0">
        <w:rPr>
          <w:rFonts w:ascii="DecimaWE Rg" w:hAnsi="DecimaWE Rg"/>
          <w:i/>
          <w:sz w:val="24"/>
          <w:szCs w:val="24"/>
        </w:rPr>
        <w:t xml:space="preserve">1. Gli interventi di garanzia della </w:t>
      </w:r>
      <w:r w:rsidRPr="00A309F0">
        <w:rPr>
          <w:rFonts w:ascii="DecimaWE Rg" w:hAnsi="DecimaWE Rg"/>
          <w:i/>
          <w:iCs/>
          <w:sz w:val="24"/>
          <w:szCs w:val="24"/>
        </w:rPr>
        <w:t xml:space="preserve">Sezione speciale FVG </w:t>
      </w:r>
      <w:r w:rsidRPr="00A309F0">
        <w:rPr>
          <w:rFonts w:ascii="DecimaWE Rg" w:hAnsi="DecimaWE Rg"/>
          <w:i/>
          <w:sz w:val="24"/>
          <w:szCs w:val="24"/>
        </w:rPr>
        <w:t xml:space="preserve">sono diretti a sostenere le operazioni finanziarie, riferite ai </w:t>
      </w:r>
      <w:r w:rsidRPr="00A309F0">
        <w:rPr>
          <w:rFonts w:ascii="DecimaWE Rg" w:hAnsi="DecimaWE Rg"/>
          <w:i/>
          <w:iCs/>
          <w:sz w:val="24"/>
          <w:szCs w:val="24"/>
        </w:rPr>
        <w:t>soggetti beneficiari</w:t>
      </w:r>
      <w:r w:rsidRPr="00A309F0">
        <w:rPr>
          <w:rFonts w:ascii="DecimaWE Rg" w:hAnsi="DecimaWE Rg"/>
          <w:i/>
          <w:sz w:val="24"/>
          <w:szCs w:val="24"/>
        </w:rPr>
        <w:t xml:space="preserve">, finalizzate al </w:t>
      </w:r>
      <w:r w:rsidRPr="00A309F0">
        <w:rPr>
          <w:rFonts w:ascii="DecimaWE Rg" w:hAnsi="DecimaWE Rg"/>
          <w:i/>
          <w:sz w:val="24"/>
          <w:szCs w:val="24"/>
          <w:u w:val="single"/>
        </w:rPr>
        <w:t>finanziamento di investimenti ovvero delle esigenze di capitale circolante</w:t>
      </w:r>
      <w:r w:rsidRPr="00A309F0">
        <w:rPr>
          <w:rFonts w:ascii="DecimaWE Rg" w:hAnsi="DecimaWE Rg"/>
          <w:i/>
          <w:sz w:val="24"/>
          <w:szCs w:val="24"/>
        </w:rPr>
        <w:t xml:space="preserve"> del </w:t>
      </w:r>
      <w:r w:rsidRPr="00A309F0">
        <w:rPr>
          <w:rFonts w:ascii="DecimaWE Rg" w:hAnsi="DecimaWE Rg"/>
          <w:i/>
          <w:iCs/>
          <w:sz w:val="24"/>
          <w:szCs w:val="24"/>
        </w:rPr>
        <w:t xml:space="preserve">soggetto beneficiario </w:t>
      </w:r>
      <w:r w:rsidRPr="00A309F0">
        <w:rPr>
          <w:rFonts w:ascii="DecimaWE Rg" w:hAnsi="DecimaWE Rg"/>
          <w:i/>
          <w:sz w:val="24"/>
          <w:szCs w:val="24"/>
        </w:rPr>
        <w:t xml:space="preserve">connesse a un progetto di sviluppo aziendale. </w:t>
      </w:r>
    </w:p>
    <w:p w:rsidR="005D12CF" w:rsidRDefault="005D12CF" w:rsidP="00A309F0">
      <w:p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A309F0">
        <w:rPr>
          <w:rFonts w:ascii="DecimaWE Rg" w:hAnsi="DecimaWE Rg"/>
          <w:i/>
          <w:sz w:val="24"/>
          <w:szCs w:val="24"/>
        </w:rPr>
        <w:t xml:space="preserve">2. Ai fini del rilascio della garanzia della </w:t>
      </w:r>
      <w:r w:rsidRPr="00A309F0">
        <w:rPr>
          <w:rFonts w:ascii="DecimaWE Rg" w:hAnsi="DecimaWE Rg"/>
          <w:i/>
          <w:iCs/>
          <w:sz w:val="24"/>
          <w:szCs w:val="24"/>
        </w:rPr>
        <w:t>Sezione speciale FVG</w:t>
      </w:r>
      <w:r w:rsidRPr="00A309F0">
        <w:rPr>
          <w:rFonts w:ascii="DecimaWE Rg" w:hAnsi="DecimaWE Rg"/>
          <w:i/>
          <w:sz w:val="24"/>
          <w:szCs w:val="24"/>
        </w:rPr>
        <w:t xml:space="preserve">, gli investimenti o i progetti di cui al comma 1, a fronte dei quali è concessa l’operazione finanziaria, devono essere riferiti alla sede principale del </w:t>
      </w:r>
      <w:r w:rsidRPr="00A309F0">
        <w:rPr>
          <w:rFonts w:ascii="DecimaWE Rg" w:hAnsi="DecimaWE Rg"/>
          <w:i/>
          <w:iCs/>
          <w:sz w:val="24"/>
          <w:szCs w:val="24"/>
        </w:rPr>
        <w:t>soggetto beneficiario</w:t>
      </w:r>
      <w:r w:rsidRPr="00A309F0">
        <w:rPr>
          <w:rFonts w:ascii="DecimaWE Rg" w:hAnsi="DecimaWE Rg"/>
          <w:i/>
          <w:sz w:val="24"/>
          <w:szCs w:val="24"/>
        </w:rPr>
        <w:t xml:space="preserve">, ovvero all’unità locale, ubicata nel territorio della </w:t>
      </w:r>
      <w:r w:rsidRPr="00A309F0">
        <w:rPr>
          <w:rFonts w:ascii="DecimaWE Rg" w:hAnsi="DecimaWE Rg"/>
          <w:i/>
          <w:iCs/>
          <w:sz w:val="24"/>
          <w:szCs w:val="24"/>
        </w:rPr>
        <w:t>Regione</w:t>
      </w:r>
      <w:r w:rsidRPr="00A309F0">
        <w:rPr>
          <w:rFonts w:ascii="DecimaWE Rg" w:hAnsi="DecimaWE Rg"/>
          <w:i/>
          <w:sz w:val="24"/>
          <w:szCs w:val="24"/>
        </w:rPr>
        <w:t xml:space="preserve">. A tal fine, </w:t>
      </w:r>
      <w:r w:rsidRPr="00A309F0">
        <w:rPr>
          <w:rFonts w:ascii="DecimaWE Rg" w:hAnsi="DecimaWE Rg"/>
          <w:i/>
          <w:sz w:val="24"/>
          <w:szCs w:val="24"/>
          <w:u w:val="single"/>
        </w:rPr>
        <w:t xml:space="preserve">con riferimento alle operazioni finanziarie inerenti fabbisogni di capitale circolante, </w:t>
      </w:r>
      <w:r w:rsidRPr="005971F1">
        <w:rPr>
          <w:rFonts w:ascii="DecimaWE Rg" w:hAnsi="DecimaWE Rg"/>
          <w:i/>
          <w:sz w:val="24"/>
          <w:szCs w:val="24"/>
        </w:rPr>
        <w:t>in sede di richiesta della garanzia è acquisita apposita</w:t>
      </w:r>
      <w:r w:rsidRPr="00A309F0">
        <w:rPr>
          <w:rFonts w:ascii="DecimaWE Rg" w:hAnsi="DecimaWE Rg"/>
          <w:i/>
          <w:sz w:val="24"/>
          <w:szCs w:val="24"/>
          <w:u w:val="single"/>
        </w:rPr>
        <w:t xml:space="preserve"> attestazione da parte del </w:t>
      </w:r>
      <w:r w:rsidRPr="00A309F0">
        <w:rPr>
          <w:rFonts w:ascii="DecimaWE Rg" w:hAnsi="DecimaWE Rg"/>
          <w:i/>
          <w:iCs/>
          <w:sz w:val="24"/>
          <w:szCs w:val="24"/>
          <w:u w:val="single"/>
        </w:rPr>
        <w:t xml:space="preserve">soggetto beneficiario </w:t>
      </w:r>
      <w:r w:rsidRPr="00A309F0">
        <w:rPr>
          <w:rFonts w:ascii="DecimaWE Rg" w:hAnsi="DecimaWE Rg"/>
          <w:i/>
          <w:sz w:val="24"/>
          <w:szCs w:val="24"/>
          <w:u w:val="single"/>
        </w:rPr>
        <w:t xml:space="preserve">in merito alla riferibilità dell’operazione finanziaria al territorio della </w:t>
      </w:r>
      <w:r w:rsidRPr="00A309F0">
        <w:rPr>
          <w:rFonts w:ascii="DecimaWE Rg" w:hAnsi="DecimaWE Rg"/>
          <w:i/>
          <w:iCs/>
          <w:sz w:val="24"/>
          <w:szCs w:val="24"/>
          <w:u w:val="single"/>
        </w:rPr>
        <w:t>Regione</w:t>
      </w:r>
      <w:r w:rsidRPr="00A309F0">
        <w:rPr>
          <w:rFonts w:ascii="DecimaWE Rg" w:hAnsi="DecimaWE Rg"/>
          <w:i/>
          <w:sz w:val="24"/>
          <w:szCs w:val="24"/>
        </w:rPr>
        <w:t>.</w:t>
      </w:r>
      <w:r w:rsidRPr="00A309F0">
        <w:rPr>
          <w:rFonts w:ascii="DecimaWE Rg" w:hAnsi="DecimaWE Rg"/>
          <w:sz w:val="24"/>
          <w:szCs w:val="24"/>
        </w:rPr>
        <w:t xml:space="preserve"> </w:t>
      </w:r>
    </w:p>
    <w:p w:rsidR="00A309F0" w:rsidRDefault="00A309F0" w:rsidP="00A309F0">
      <w:pPr>
        <w:spacing w:after="0" w:line="240" w:lineRule="auto"/>
        <w:jc w:val="both"/>
        <w:rPr>
          <w:rFonts w:ascii="DecimaWE Rg" w:hAnsi="DecimaWE Rg"/>
          <w:sz w:val="24"/>
          <w:szCs w:val="24"/>
        </w:rPr>
      </w:pPr>
    </w:p>
    <w:p w:rsidR="000D55A0" w:rsidRPr="000D55A0" w:rsidRDefault="000D55A0" w:rsidP="00534C21">
      <w:pPr>
        <w:pStyle w:val="Default"/>
        <w:jc w:val="both"/>
        <w:rPr>
          <w:rFonts w:ascii="DecimaWE Rg" w:hAnsi="DecimaWE Rg" w:cstheme="minorBidi"/>
          <w:color w:val="auto"/>
        </w:rPr>
      </w:pPr>
      <w:r w:rsidRPr="000D55A0">
        <w:rPr>
          <w:rFonts w:ascii="DecimaWE Rg" w:hAnsi="DecimaWE Rg" w:cstheme="minorBidi"/>
          <w:color w:val="auto"/>
        </w:rPr>
        <w:t>Sono “</w:t>
      </w:r>
      <w:r w:rsidRPr="00917D0D">
        <w:rPr>
          <w:rFonts w:ascii="DecimaWE Rg" w:hAnsi="DecimaWE Rg" w:cstheme="minorBidi"/>
          <w:color w:val="auto"/>
          <w:u w:val="single"/>
        </w:rPr>
        <w:t>soggetti beneficiari</w:t>
      </w:r>
      <w:r w:rsidRPr="000D55A0">
        <w:rPr>
          <w:rFonts w:ascii="DecimaWE Rg" w:hAnsi="DecimaWE Rg" w:cstheme="minorBidi"/>
          <w:color w:val="auto"/>
        </w:rPr>
        <w:t>” ai sensi dell’Accordo le PMI e i professionisti aventi la sede principale e/o almeno un’unità locale ubicata nel territorio della Regione.</w:t>
      </w:r>
    </w:p>
    <w:p w:rsidR="000D55A0" w:rsidRPr="00A309F0" w:rsidRDefault="000D55A0" w:rsidP="00A309F0">
      <w:pPr>
        <w:spacing w:after="0" w:line="240" w:lineRule="auto"/>
        <w:jc w:val="both"/>
        <w:rPr>
          <w:rFonts w:ascii="DecimaWE Rg" w:hAnsi="DecimaWE Rg"/>
          <w:sz w:val="24"/>
          <w:szCs w:val="24"/>
        </w:rPr>
      </w:pPr>
    </w:p>
    <w:p w:rsidR="000D55A0" w:rsidRDefault="005D1044" w:rsidP="00A309F0">
      <w:p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A309F0">
        <w:rPr>
          <w:rFonts w:ascii="DecimaWE Rg" w:hAnsi="DecimaWE Rg"/>
          <w:sz w:val="24"/>
          <w:szCs w:val="24"/>
        </w:rPr>
        <w:t xml:space="preserve">La dichiarazione </w:t>
      </w:r>
      <w:r w:rsidR="000D55A0">
        <w:rPr>
          <w:rFonts w:ascii="DecimaWE Rg" w:hAnsi="DecimaWE Rg"/>
          <w:sz w:val="24"/>
          <w:szCs w:val="24"/>
        </w:rPr>
        <w:t xml:space="preserve">del soggetto beneficiario in caso di operazioni inerenti a fabbisogni di capitale circolante </w:t>
      </w:r>
      <w:r w:rsidRPr="00A309F0">
        <w:rPr>
          <w:rFonts w:ascii="DecimaWE Rg" w:hAnsi="DecimaWE Rg"/>
          <w:sz w:val="24"/>
          <w:szCs w:val="24"/>
        </w:rPr>
        <w:t xml:space="preserve">è richiesta </w:t>
      </w:r>
      <w:r w:rsidR="00257FF9" w:rsidRPr="00A309F0">
        <w:rPr>
          <w:rFonts w:ascii="DecimaWE Rg" w:hAnsi="DecimaWE Rg"/>
          <w:sz w:val="24"/>
          <w:szCs w:val="24"/>
        </w:rPr>
        <w:t>per rispettare la</w:t>
      </w:r>
      <w:r w:rsidRPr="00A309F0">
        <w:rPr>
          <w:rFonts w:ascii="DecimaWE Rg" w:hAnsi="DecimaWE Rg"/>
          <w:sz w:val="24"/>
          <w:szCs w:val="24"/>
        </w:rPr>
        <w:t xml:space="preserve"> disciplina del POR FESR, che </w:t>
      </w:r>
      <w:r w:rsidR="008B46EE" w:rsidRPr="00A309F0">
        <w:rPr>
          <w:rFonts w:ascii="DecimaWE Rg" w:hAnsi="DecimaWE Rg"/>
          <w:sz w:val="24"/>
          <w:szCs w:val="24"/>
        </w:rPr>
        <w:t xml:space="preserve">impone </w:t>
      </w:r>
      <w:r w:rsidR="000D55A0">
        <w:rPr>
          <w:rFonts w:ascii="DecimaWE Rg" w:hAnsi="DecimaWE Rg"/>
          <w:sz w:val="24"/>
          <w:szCs w:val="24"/>
        </w:rPr>
        <w:t xml:space="preserve">che le risorse del </w:t>
      </w:r>
      <w:r w:rsidR="007C35A3">
        <w:rPr>
          <w:rFonts w:ascii="DecimaWE Rg" w:hAnsi="DecimaWE Rg"/>
          <w:sz w:val="24"/>
          <w:szCs w:val="24"/>
        </w:rPr>
        <w:t>FESR</w:t>
      </w:r>
      <w:r w:rsidR="000D55A0">
        <w:rPr>
          <w:rFonts w:ascii="DecimaWE Rg" w:hAnsi="DecimaWE Rg"/>
          <w:sz w:val="24"/>
          <w:szCs w:val="24"/>
        </w:rPr>
        <w:t xml:space="preserve"> siano utilizzate per agevolare </w:t>
      </w:r>
      <w:r w:rsidR="000D55A0" w:rsidRPr="00917D0D">
        <w:rPr>
          <w:rFonts w:ascii="DecimaWE Rg" w:hAnsi="DecimaWE Rg"/>
          <w:sz w:val="24"/>
          <w:szCs w:val="24"/>
          <w:u w:val="single"/>
        </w:rPr>
        <w:t xml:space="preserve">attività economica </w:t>
      </w:r>
      <w:r w:rsidR="007B19F4" w:rsidRPr="00917D0D">
        <w:rPr>
          <w:rFonts w:ascii="DecimaWE Rg" w:hAnsi="DecimaWE Rg"/>
          <w:sz w:val="24"/>
          <w:szCs w:val="24"/>
          <w:u w:val="single"/>
        </w:rPr>
        <w:t>che si svolge</w:t>
      </w:r>
      <w:r w:rsidR="000D55A0" w:rsidRPr="00917D0D">
        <w:rPr>
          <w:rFonts w:ascii="DecimaWE Rg" w:hAnsi="DecimaWE Rg"/>
          <w:sz w:val="24"/>
          <w:szCs w:val="24"/>
          <w:u w:val="single"/>
        </w:rPr>
        <w:t xml:space="preserve"> sul territorio del Friuli Venezia Giulia</w:t>
      </w:r>
      <w:r w:rsidR="000D55A0">
        <w:rPr>
          <w:rFonts w:ascii="DecimaWE Rg" w:hAnsi="DecimaWE Rg"/>
          <w:sz w:val="24"/>
          <w:szCs w:val="24"/>
        </w:rPr>
        <w:t>.</w:t>
      </w:r>
      <w:r w:rsidR="008B46EE" w:rsidRPr="00A309F0">
        <w:rPr>
          <w:rFonts w:ascii="DecimaWE Rg" w:hAnsi="DecimaWE Rg"/>
          <w:sz w:val="24"/>
          <w:szCs w:val="24"/>
        </w:rPr>
        <w:t xml:space="preserve"> </w:t>
      </w:r>
    </w:p>
    <w:p w:rsidR="00534C21" w:rsidRDefault="00534C21" w:rsidP="00534C21">
      <w:pPr>
        <w:spacing w:after="0" w:line="240" w:lineRule="auto"/>
        <w:jc w:val="both"/>
        <w:rPr>
          <w:rFonts w:ascii="DecimaWE Rg" w:hAnsi="DecimaWE Rg"/>
          <w:sz w:val="24"/>
          <w:szCs w:val="24"/>
        </w:rPr>
      </w:pPr>
    </w:p>
    <w:p w:rsidR="00534C21" w:rsidRPr="00534C21" w:rsidRDefault="00534C21" w:rsidP="00534C21">
      <w:p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Per quanto attiene al “</w:t>
      </w:r>
      <w:r w:rsidRPr="00917D0D">
        <w:rPr>
          <w:rFonts w:ascii="DecimaWE Rg" w:hAnsi="DecimaWE Rg"/>
          <w:sz w:val="24"/>
          <w:szCs w:val="24"/>
          <w:u w:val="single"/>
        </w:rPr>
        <w:t>progetto di sviluppo aziendale</w:t>
      </w:r>
      <w:r>
        <w:rPr>
          <w:rFonts w:ascii="DecimaWE Rg" w:hAnsi="DecimaWE Rg"/>
          <w:sz w:val="24"/>
          <w:szCs w:val="24"/>
        </w:rPr>
        <w:t>”, lo stesso è da considerarsi sussistente, come specificato nella circolare 4/2018 di Mediocredito centrale</w:t>
      </w:r>
      <w:r w:rsidR="007B19F4">
        <w:rPr>
          <w:rFonts w:ascii="DecimaWE Rg" w:hAnsi="DecimaWE Rg"/>
          <w:sz w:val="24"/>
          <w:szCs w:val="24"/>
        </w:rPr>
        <w:t>,</w:t>
      </w:r>
      <w:r>
        <w:rPr>
          <w:rFonts w:ascii="DecimaWE Rg" w:hAnsi="DecimaWE Rg"/>
          <w:sz w:val="24"/>
          <w:szCs w:val="24"/>
        </w:rPr>
        <w:t xml:space="preserve"> se l</w:t>
      </w:r>
      <w:r w:rsidRPr="00534C21">
        <w:rPr>
          <w:rFonts w:ascii="DecimaWE Rg" w:hAnsi="DecimaWE Rg"/>
          <w:sz w:val="24"/>
          <w:szCs w:val="24"/>
        </w:rPr>
        <w:t xml:space="preserve">e operazioni </w:t>
      </w:r>
      <w:r>
        <w:rPr>
          <w:rFonts w:ascii="DecimaWE Rg" w:hAnsi="DecimaWE Rg"/>
          <w:sz w:val="24"/>
          <w:szCs w:val="24"/>
        </w:rPr>
        <w:t>sono</w:t>
      </w:r>
      <w:r w:rsidRPr="00534C21">
        <w:rPr>
          <w:rFonts w:ascii="DecimaWE Rg" w:hAnsi="DecimaWE Rg"/>
          <w:sz w:val="24"/>
          <w:szCs w:val="24"/>
        </w:rPr>
        <w:t xml:space="preserve"> dirette al finanziamento dei seguenti ambiti:</w:t>
      </w:r>
    </w:p>
    <w:p w:rsidR="00534C21" w:rsidRPr="00534C21" w:rsidRDefault="00534C21" w:rsidP="00534C2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534C21">
        <w:rPr>
          <w:rFonts w:ascii="DecimaWE Rg" w:hAnsi="DecimaWE Rg"/>
          <w:sz w:val="24"/>
          <w:szCs w:val="24"/>
        </w:rPr>
        <w:t>fasi iniziali dell’attività dei soggetti beneficiari;</w:t>
      </w:r>
    </w:p>
    <w:p w:rsidR="00534C21" w:rsidRPr="00534C21" w:rsidRDefault="00534C21" w:rsidP="00534C2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534C21">
        <w:rPr>
          <w:rFonts w:ascii="DecimaWE Rg" w:hAnsi="DecimaWE Rg"/>
          <w:sz w:val="24"/>
          <w:szCs w:val="24"/>
        </w:rPr>
        <w:t>capitale connesso all’espansione dell’attività dei soggetti beneficiari;</w:t>
      </w:r>
    </w:p>
    <w:p w:rsidR="00534C21" w:rsidRPr="00534C21" w:rsidRDefault="00534C21" w:rsidP="00534C2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534C21">
        <w:rPr>
          <w:rFonts w:ascii="DecimaWE Rg" w:hAnsi="DecimaWE Rg"/>
          <w:sz w:val="24"/>
          <w:szCs w:val="24"/>
          <w:u w:val="single"/>
        </w:rPr>
        <w:t>capitale necessario al rafforzamento delle attività generali del soggetto beneficiario</w:t>
      </w:r>
      <w:r w:rsidRPr="00534C21">
        <w:rPr>
          <w:rFonts w:ascii="DecimaWE Rg" w:hAnsi="DecimaWE Rg"/>
          <w:sz w:val="24"/>
          <w:szCs w:val="24"/>
        </w:rPr>
        <w:t xml:space="preserve"> </w:t>
      </w:r>
      <w:r w:rsidRPr="005971F1">
        <w:rPr>
          <w:rFonts w:ascii="DecimaWE Rg" w:hAnsi="DecimaWE Rg"/>
          <w:sz w:val="24"/>
          <w:szCs w:val="24"/>
        </w:rPr>
        <w:t xml:space="preserve">(rientrano in tale categoria </w:t>
      </w:r>
      <w:r w:rsidRPr="00534C21">
        <w:rPr>
          <w:rFonts w:ascii="DecimaWE Rg" w:hAnsi="DecimaWE Rg"/>
          <w:sz w:val="24"/>
          <w:szCs w:val="24"/>
        </w:rPr>
        <w:t xml:space="preserve">sia il </w:t>
      </w:r>
      <w:r w:rsidRPr="007C35A3">
        <w:rPr>
          <w:rFonts w:ascii="DecimaWE Rg" w:hAnsi="DecimaWE Rg"/>
          <w:sz w:val="24"/>
          <w:szCs w:val="24"/>
          <w:u w:val="single"/>
        </w:rPr>
        <w:t>rafforzamento della capacità produttiva</w:t>
      </w:r>
      <w:r w:rsidRPr="00534C21">
        <w:rPr>
          <w:rFonts w:ascii="DecimaWE Rg" w:hAnsi="DecimaWE Rg"/>
          <w:sz w:val="24"/>
          <w:szCs w:val="24"/>
        </w:rPr>
        <w:t xml:space="preserve"> del soggetto beneficiario sia </w:t>
      </w:r>
      <w:r w:rsidRPr="005971F1">
        <w:rPr>
          <w:rFonts w:ascii="DecimaWE Rg" w:hAnsi="DecimaWE Rg"/>
          <w:sz w:val="24"/>
          <w:szCs w:val="24"/>
        </w:rPr>
        <w:t xml:space="preserve">le </w:t>
      </w:r>
      <w:r w:rsidRPr="00534C21">
        <w:rPr>
          <w:rFonts w:ascii="DecimaWE Rg" w:hAnsi="DecimaWE Rg"/>
          <w:sz w:val="24"/>
          <w:szCs w:val="24"/>
          <w:u w:val="single"/>
        </w:rPr>
        <w:t>attività dirette a stabilizzare, ovvero a difendere, la posizione di mercato</w:t>
      </w:r>
      <w:r w:rsidRPr="005971F1">
        <w:rPr>
          <w:rFonts w:ascii="DecimaWE Rg" w:hAnsi="DecimaWE Rg"/>
          <w:sz w:val="24"/>
          <w:szCs w:val="24"/>
        </w:rPr>
        <w:t xml:space="preserve"> del soggetto beneficiario</w:t>
      </w:r>
      <w:r w:rsidRPr="00534C21">
        <w:rPr>
          <w:rFonts w:ascii="DecimaWE Rg" w:hAnsi="DecimaWE Rg"/>
          <w:sz w:val="24"/>
          <w:szCs w:val="24"/>
        </w:rPr>
        <w:t>);</w:t>
      </w:r>
    </w:p>
    <w:p w:rsidR="00534C21" w:rsidRPr="00534C21" w:rsidRDefault="00534C21" w:rsidP="00534C2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534C21">
        <w:rPr>
          <w:rFonts w:ascii="DecimaWE Rg" w:hAnsi="DecimaWE Rg"/>
          <w:sz w:val="24"/>
          <w:szCs w:val="24"/>
        </w:rPr>
        <w:lastRenderedPageBreak/>
        <w:t xml:space="preserve">nuovi progetti aziendali, quali, a titolo esemplificativo, la realizzazione di nuove strutture o di campagne di </w:t>
      </w:r>
      <w:r w:rsidRPr="00D8292B">
        <w:rPr>
          <w:rFonts w:ascii="DecimaWE Rg" w:hAnsi="DecimaWE Rg"/>
          <w:i/>
          <w:sz w:val="24"/>
          <w:szCs w:val="24"/>
        </w:rPr>
        <w:t>marketing</w:t>
      </w:r>
      <w:r w:rsidRPr="00534C21">
        <w:rPr>
          <w:rFonts w:ascii="DecimaWE Rg" w:hAnsi="DecimaWE Rg"/>
          <w:sz w:val="24"/>
          <w:szCs w:val="24"/>
        </w:rPr>
        <w:t>;</w:t>
      </w:r>
    </w:p>
    <w:p w:rsidR="00534C21" w:rsidRPr="00534C21" w:rsidRDefault="00534C21" w:rsidP="00534C2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534C21">
        <w:rPr>
          <w:rFonts w:ascii="DecimaWE Rg" w:hAnsi="DecimaWE Rg"/>
          <w:sz w:val="24"/>
          <w:szCs w:val="24"/>
        </w:rPr>
        <w:t xml:space="preserve">attività di penetrazione in nuovi mercati, nel rispetto di quanto consentito dal regolamento </w:t>
      </w:r>
      <w:r w:rsidRPr="00D8292B">
        <w:rPr>
          <w:rFonts w:ascii="DecimaWE Rg" w:hAnsi="DecimaWE Rg"/>
          <w:i/>
          <w:sz w:val="24"/>
          <w:szCs w:val="24"/>
        </w:rPr>
        <w:t xml:space="preserve">de </w:t>
      </w:r>
      <w:proofErr w:type="spellStart"/>
      <w:r w:rsidRPr="00D8292B">
        <w:rPr>
          <w:rFonts w:ascii="DecimaWE Rg" w:hAnsi="DecimaWE Rg"/>
          <w:i/>
          <w:sz w:val="24"/>
          <w:szCs w:val="24"/>
        </w:rPr>
        <w:t>minimis</w:t>
      </w:r>
      <w:proofErr w:type="spellEnd"/>
      <w:r w:rsidRPr="00534C21">
        <w:rPr>
          <w:rFonts w:ascii="DecimaWE Rg" w:hAnsi="DecimaWE Rg"/>
          <w:sz w:val="24"/>
          <w:szCs w:val="24"/>
        </w:rPr>
        <w:t xml:space="preserve"> e dal regolamento di esenzione;</w:t>
      </w:r>
    </w:p>
    <w:p w:rsidR="00534C21" w:rsidRPr="00534C21" w:rsidRDefault="00534C21" w:rsidP="00534C2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534C21">
        <w:rPr>
          <w:rFonts w:ascii="DecimaWE Rg" w:hAnsi="DecimaWE Rg"/>
          <w:sz w:val="24"/>
          <w:szCs w:val="24"/>
        </w:rPr>
        <w:t>attività dirette alla realizzazione di nuovi prodotti o servizi o all’ottenimento di nuovi brevetti.</w:t>
      </w:r>
    </w:p>
    <w:p w:rsidR="00534C21" w:rsidRDefault="00534C21" w:rsidP="00534C21">
      <w:pPr>
        <w:spacing w:after="0" w:line="240" w:lineRule="auto"/>
        <w:jc w:val="both"/>
        <w:rPr>
          <w:rFonts w:ascii="DecimaWE Rg" w:hAnsi="DecimaWE Rg"/>
          <w:sz w:val="24"/>
          <w:szCs w:val="24"/>
        </w:rPr>
      </w:pPr>
    </w:p>
    <w:p w:rsidR="00534C21" w:rsidRPr="005971F1" w:rsidRDefault="00534C21" w:rsidP="00534C21">
      <w:p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5971F1">
        <w:rPr>
          <w:rFonts w:ascii="DecimaWE Rg" w:hAnsi="DecimaWE Rg"/>
          <w:sz w:val="24"/>
          <w:szCs w:val="24"/>
        </w:rPr>
        <w:t xml:space="preserve">Nel caso di operazioni finalizzate al finanziamento delle </w:t>
      </w:r>
      <w:r w:rsidRPr="005971F1">
        <w:rPr>
          <w:rFonts w:ascii="DecimaWE Rg" w:hAnsi="DecimaWE Rg"/>
          <w:sz w:val="24"/>
          <w:szCs w:val="24"/>
          <w:u w:val="single"/>
        </w:rPr>
        <w:t>esigenze di capitale circolante</w:t>
      </w:r>
      <w:r w:rsidRPr="005971F1">
        <w:rPr>
          <w:rFonts w:ascii="DecimaWE Rg" w:hAnsi="DecimaWE Rg"/>
          <w:sz w:val="24"/>
          <w:szCs w:val="24"/>
        </w:rPr>
        <w:t>, in particolare, rileva l’ambito di cui alla precedente lettera c). Proprio al fine di rispettare tale criterio</w:t>
      </w:r>
      <w:r w:rsidR="007C35A3">
        <w:rPr>
          <w:rFonts w:ascii="DecimaWE Rg" w:hAnsi="DecimaWE Rg"/>
          <w:sz w:val="24"/>
          <w:szCs w:val="24"/>
        </w:rPr>
        <w:t xml:space="preserve"> di ammissibilità,</w:t>
      </w:r>
      <w:r w:rsidRPr="005971F1">
        <w:rPr>
          <w:rFonts w:ascii="DecimaWE Rg" w:hAnsi="DecimaWE Rg"/>
          <w:sz w:val="24"/>
          <w:szCs w:val="24"/>
        </w:rPr>
        <w:t xml:space="preserve"> dalle operazioni ammissibili sono state </w:t>
      </w:r>
      <w:r w:rsidRPr="005971F1">
        <w:rPr>
          <w:rFonts w:ascii="DecimaWE Rg" w:hAnsi="DecimaWE Rg"/>
          <w:sz w:val="24"/>
          <w:szCs w:val="24"/>
          <w:u w:val="single"/>
        </w:rPr>
        <w:t>escluse quelle relative a consolidamenti di debiti</w:t>
      </w:r>
      <w:r w:rsidRPr="005971F1">
        <w:rPr>
          <w:rFonts w:ascii="DecimaWE Rg" w:hAnsi="DecimaWE Rg"/>
          <w:sz w:val="24"/>
          <w:szCs w:val="24"/>
        </w:rPr>
        <w:t>.</w:t>
      </w:r>
      <w:r w:rsidR="00E345FB">
        <w:rPr>
          <w:rFonts w:ascii="DecimaWE Rg" w:hAnsi="DecimaWE Rg"/>
          <w:sz w:val="24"/>
          <w:szCs w:val="24"/>
        </w:rPr>
        <w:t xml:space="preserve"> </w:t>
      </w:r>
    </w:p>
    <w:p w:rsidR="00534C21" w:rsidRDefault="00534C21" w:rsidP="00534C21">
      <w:pPr>
        <w:spacing w:after="0" w:line="240" w:lineRule="auto"/>
        <w:jc w:val="both"/>
        <w:rPr>
          <w:rFonts w:ascii="DecimaWE Rg" w:hAnsi="DecimaWE Rg"/>
          <w:sz w:val="24"/>
          <w:szCs w:val="24"/>
        </w:rPr>
      </w:pPr>
    </w:p>
    <w:p w:rsidR="00534C21" w:rsidRPr="005971F1" w:rsidRDefault="00534C21" w:rsidP="00534C21">
      <w:p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5971F1">
        <w:rPr>
          <w:rFonts w:ascii="DecimaWE Rg" w:hAnsi="DecimaWE Rg"/>
          <w:sz w:val="24"/>
          <w:szCs w:val="24"/>
        </w:rPr>
        <w:t xml:space="preserve">Conseguentemente, nel caso di imprese operanti in Friuli Venezia Giulia, presso la sede legale o una o più unità operative, salvo il caso dei consolidamenti, </w:t>
      </w:r>
      <w:r w:rsidRPr="005971F1">
        <w:rPr>
          <w:rFonts w:ascii="DecimaWE Rg" w:hAnsi="DecimaWE Rg"/>
          <w:sz w:val="24"/>
          <w:szCs w:val="24"/>
          <w:u w:val="single"/>
        </w:rPr>
        <w:t>è possibile utilizzare le risorse aggiuntive della Sezione speciale FVG con riferimento a tutte le operazioni ammissibili</w:t>
      </w:r>
      <w:r w:rsidRPr="005971F1">
        <w:rPr>
          <w:rFonts w:ascii="DecimaWE Rg" w:hAnsi="DecimaWE Rg"/>
          <w:sz w:val="24"/>
          <w:szCs w:val="24"/>
        </w:rPr>
        <w:t xml:space="preserve"> alla garanzia o alla controgaranzia del Fondo centrale.</w:t>
      </w:r>
      <w:r w:rsidR="00E345FB">
        <w:rPr>
          <w:rFonts w:ascii="DecimaWE Rg" w:hAnsi="DecimaWE Rg"/>
          <w:sz w:val="24"/>
          <w:szCs w:val="24"/>
        </w:rPr>
        <w:t xml:space="preserve"> </w:t>
      </w:r>
      <w:r w:rsidR="00E345FB" w:rsidRPr="00E345FB">
        <w:rPr>
          <w:rFonts w:ascii="DecimaWE Rg" w:hAnsi="DecimaWE Rg"/>
          <w:sz w:val="24"/>
          <w:szCs w:val="24"/>
          <w:u w:val="single"/>
        </w:rPr>
        <w:t>Non ha alcuna rilevanza la localizzazione dei fornitori</w:t>
      </w:r>
      <w:r w:rsidR="00E345FB">
        <w:rPr>
          <w:rFonts w:ascii="DecimaWE Rg" w:hAnsi="DecimaWE Rg"/>
          <w:sz w:val="24"/>
          <w:szCs w:val="24"/>
        </w:rPr>
        <w:t xml:space="preserve"> destinatari dei pagamenti effettuati con l’operazione finanziaria garantita, essendo del tutto indifferente se gli stessi sono insediati in FVG oppure no.</w:t>
      </w:r>
    </w:p>
    <w:p w:rsidR="00534C21" w:rsidRPr="00534C21" w:rsidRDefault="00534C21" w:rsidP="00534C21">
      <w:pPr>
        <w:spacing w:after="0" w:line="240" w:lineRule="auto"/>
        <w:jc w:val="both"/>
        <w:rPr>
          <w:rFonts w:ascii="DecimaWE Rg" w:hAnsi="DecimaWE Rg"/>
          <w:sz w:val="24"/>
          <w:szCs w:val="24"/>
        </w:rPr>
      </w:pPr>
    </w:p>
    <w:p w:rsidR="00A12B06" w:rsidRDefault="000D55A0" w:rsidP="00A309F0">
      <w:p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0D55A0">
        <w:rPr>
          <w:rFonts w:ascii="DecimaWE Rg" w:hAnsi="DecimaWE Rg"/>
          <w:sz w:val="24"/>
          <w:szCs w:val="24"/>
        </w:rPr>
        <w:t xml:space="preserve">La </w:t>
      </w:r>
      <w:r w:rsidR="007C35A3">
        <w:rPr>
          <w:rFonts w:ascii="DecimaWE Rg" w:hAnsi="DecimaWE Rg"/>
          <w:sz w:val="24"/>
          <w:szCs w:val="24"/>
        </w:rPr>
        <w:t xml:space="preserve">c.d. </w:t>
      </w:r>
      <w:r w:rsidRPr="004F51D2">
        <w:rPr>
          <w:rFonts w:ascii="DecimaWE Rg" w:hAnsi="DecimaWE Rg"/>
          <w:sz w:val="24"/>
          <w:szCs w:val="24"/>
        </w:rPr>
        <w:t>regionalizzazione</w:t>
      </w:r>
      <w:r w:rsidR="007C35A3">
        <w:rPr>
          <w:rFonts w:ascii="DecimaWE Rg" w:hAnsi="DecimaWE Rg"/>
          <w:sz w:val="24"/>
          <w:szCs w:val="24"/>
        </w:rPr>
        <w:t xml:space="preserve"> </w:t>
      </w:r>
      <w:r w:rsidRPr="000D55A0">
        <w:rPr>
          <w:rFonts w:ascii="DecimaWE Rg" w:hAnsi="DecimaWE Rg"/>
          <w:sz w:val="24"/>
          <w:szCs w:val="24"/>
        </w:rPr>
        <w:t xml:space="preserve">del Fondo </w:t>
      </w:r>
      <w:r w:rsidR="007C35A3">
        <w:rPr>
          <w:rFonts w:ascii="DecimaWE Rg" w:hAnsi="DecimaWE Rg"/>
          <w:sz w:val="24"/>
          <w:szCs w:val="24"/>
        </w:rPr>
        <w:t xml:space="preserve">centrale </w:t>
      </w:r>
      <w:r w:rsidRPr="000D55A0">
        <w:rPr>
          <w:rFonts w:ascii="DecimaWE Rg" w:hAnsi="DecimaWE Rg"/>
          <w:sz w:val="24"/>
          <w:szCs w:val="24"/>
        </w:rPr>
        <w:t>di garanzia</w:t>
      </w:r>
      <w:r w:rsidR="007C35A3">
        <w:rPr>
          <w:rFonts w:ascii="DecimaWE Rg" w:hAnsi="DecimaWE Rg"/>
          <w:sz w:val="24"/>
          <w:szCs w:val="24"/>
        </w:rPr>
        <w:t>, entrata in vigore in Friuli Venezia Giulia ai sensi dell’</w:t>
      </w:r>
      <w:r w:rsidR="007C35A3" w:rsidRPr="007C35A3">
        <w:rPr>
          <w:rFonts w:ascii="DecimaWE Rg" w:hAnsi="DecimaWE Rg"/>
          <w:sz w:val="24"/>
          <w:szCs w:val="24"/>
        </w:rPr>
        <w:t>art</w:t>
      </w:r>
      <w:r w:rsidR="007C35A3">
        <w:rPr>
          <w:rFonts w:ascii="DecimaWE Rg" w:hAnsi="DecimaWE Rg"/>
          <w:sz w:val="24"/>
          <w:szCs w:val="24"/>
        </w:rPr>
        <w:t>icolo</w:t>
      </w:r>
      <w:r w:rsidR="007C35A3" w:rsidRPr="007C35A3">
        <w:rPr>
          <w:rFonts w:ascii="DecimaWE Rg" w:hAnsi="DecimaWE Rg"/>
          <w:sz w:val="24"/>
          <w:szCs w:val="24"/>
        </w:rPr>
        <w:t xml:space="preserve"> 18, lettera r</w:t>
      </w:r>
      <w:r w:rsidR="007C35A3">
        <w:rPr>
          <w:rFonts w:ascii="DecimaWE Rg" w:hAnsi="DecimaWE Rg"/>
          <w:sz w:val="24"/>
          <w:szCs w:val="24"/>
        </w:rPr>
        <w:t>),</w:t>
      </w:r>
      <w:r w:rsidR="007C35A3" w:rsidRPr="000D55A0">
        <w:rPr>
          <w:rFonts w:ascii="DecimaWE Rg" w:hAnsi="DecimaWE Rg"/>
          <w:sz w:val="24"/>
          <w:szCs w:val="24"/>
        </w:rPr>
        <w:t xml:space="preserve"> </w:t>
      </w:r>
      <w:r w:rsidR="007C35A3">
        <w:rPr>
          <w:rFonts w:ascii="DecimaWE Rg" w:hAnsi="DecimaWE Rg"/>
          <w:sz w:val="24"/>
          <w:szCs w:val="24"/>
        </w:rPr>
        <w:t>del decreto l</w:t>
      </w:r>
      <w:r w:rsidR="007C35A3" w:rsidRPr="007C35A3">
        <w:rPr>
          <w:rFonts w:ascii="DecimaWE Rg" w:hAnsi="DecimaWE Rg"/>
          <w:sz w:val="24"/>
          <w:szCs w:val="24"/>
        </w:rPr>
        <w:t xml:space="preserve">egislativo </w:t>
      </w:r>
      <w:r w:rsidR="007C35A3">
        <w:rPr>
          <w:rFonts w:ascii="DecimaWE Rg" w:hAnsi="DecimaWE Rg"/>
          <w:sz w:val="24"/>
          <w:szCs w:val="24"/>
        </w:rPr>
        <w:t>112/1998</w:t>
      </w:r>
      <w:r w:rsidR="007C35A3" w:rsidRPr="007C35A3">
        <w:rPr>
          <w:rFonts w:ascii="DecimaWE Rg" w:hAnsi="DecimaWE Rg"/>
          <w:sz w:val="24"/>
          <w:szCs w:val="24"/>
        </w:rPr>
        <w:t xml:space="preserve">, </w:t>
      </w:r>
      <w:r w:rsidR="007C35A3">
        <w:rPr>
          <w:rFonts w:ascii="DecimaWE Rg" w:hAnsi="DecimaWE Rg"/>
          <w:sz w:val="24"/>
          <w:szCs w:val="24"/>
        </w:rPr>
        <w:t>si riverbera anche sulla Sezione speciale FVG</w:t>
      </w:r>
      <w:r w:rsidRPr="000D55A0">
        <w:rPr>
          <w:rFonts w:ascii="DecimaWE Rg" w:hAnsi="DecimaWE Rg"/>
          <w:sz w:val="24"/>
          <w:szCs w:val="24"/>
        </w:rPr>
        <w:t>.</w:t>
      </w:r>
      <w:r w:rsidR="006E6427">
        <w:rPr>
          <w:rFonts w:ascii="DecimaWE Rg" w:hAnsi="DecimaWE Rg"/>
          <w:sz w:val="24"/>
          <w:szCs w:val="24"/>
        </w:rPr>
        <w:t xml:space="preserve"> </w:t>
      </w:r>
      <w:r w:rsidR="007C35A3">
        <w:rPr>
          <w:rFonts w:ascii="DecimaWE Rg" w:hAnsi="DecimaWE Rg"/>
          <w:sz w:val="24"/>
          <w:szCs w:val="24"/>
        </w:rPr>
        <w:t xml:space="preserve">Tuttavia, come noto, </w:t>
      </w:r>
      <w:r w:rsidR="007C35A3" w:rsidRPr="004F51D2">
        <w:rPr>
          <w:rFonts w:ascii="DecimaWE Rg" w:hAnsi="DecimaWE Rg"/>
          <w:sz w:val="24"/>
          <w:szCs w:val="24"/>
          <w:u w:val="single"/>
        </w:rPr>
        <w:t>la reg</w:t>
      </w:r>
      <w:r w:rsidR="004F51D2" w:rsidRPr="004F51D2">
        <w:rPr>
          <w:rFonts w:ascii="DecimaWE Rg" w:hAnsi="DecimaWE Rg"/>
          <w:sz w:val="24"/>
          <w:szCs w:val="24"/>
          <w:u w:val="single"/>
        </w:rPr>
        <w:t>ionalizzazione è solo parziale</w:t>
      </w:r>
      <w:r w:rsidR="004F51D2">
        <w:rPr>
          <w:rFonts w:ascii="DecimaWE Rg" w:hAnsi="DecimaWE Rg"/>
          <w:sz w:val="24"/>
          <w:szCs w:val="24"/>
        </w:rPr>
        <w:t xml:space="preserve">, interessando esclusivamente le operazioni finanziarie di importo compreso </w:t>
      </w:r>
      <w:r w:rsidR="004F51D2" w:rsidRPr="004F51D2">
        <w:rPr>
          <w:rFonts w:ascii="DecimaWE Rg" w:hAnsi="DecimaWE Rg"/>
          <w:sz w:val="24"/>
          <w:szCs w:val="24"/>
        </w:rPr>
        <w:t>da euro 25.001 a euro 175.000</w:t>
      </w:r>
      <w:r w:rsidR="004F51D2">
        <w:rPr>
          <w:rFonts w:ascii="DecimaWE Rg" w:hAnsi="DecimaWE Rg"/>
          <w:sz w:val="24"/>
          <w:szCs w:val="24"/>
        </w:rPr>
        <w:t xml:space="preserve">. </w:t>
      </w:r>
      <w:r w:rsidR="00A12B06">
        <w:rPr>
          <w:rFonts w:ascii="DecimaWE Rg" w:hAnsi="DecimaWE Rg"/>
          <w:sz w:val="24"/>
          <w:szCs w:val="24"/>
        </w:rPr>
        <w:t xml:space="preserve">Pertanto, </w:t>
      </w:r>
      <w:r w:rsidR="00DE56FF" w:rsidRPr="00C45237">
        <w:rPr>
          <w:rFonts w:ascii="DecimaWE Rg" w:hAnsi="DecimaWE Rg"/>
          <w:sz w:val="24"/>
          <w:szCs w:val="24"/>
          <w:u w:val="single"/>
        </w:rPr>
        <w:t>le</w:t>
      </w:r>
      <w:r w:rsidR="004F51D2" w:rsidRPr="00C45237">
        <w:rPr>
          <w:rFonts w:ascii="DecimaWE Rg" w:hAnsi="DecimaWE Rg"/>
          <w:sz w:val="24"/>
          <w:szCs w:val="24"/>
          <w:u w:val="single"/>
        </w:rPr>
        <w:t xml:space="preserve"> b</w:t>
      </w:r>
      <w:r w:rsidR="0025471A" w:rsidRPr="00C45237">
        <w:rPr>
          <w:rFonts w:ascii="DecimaWE Rg" w:hAnsi="DecimaWE Rg"/>
          <w:sz w:val="24"/>
          <w:szCs w:val="24"/>
          <w:u w:val="single"/>
        </w:rPr>
        <w:t xml:space="preserve">anche </w:t>
      </w:r>
      <w:r w:rsidR="00DE56FF" w:rsidRPr="00C45237">
        <w:rPr>
          <w:rFonts w:ascii="DecimaWE Rg" w:hAnsi="DecimaWE Rg"/>
          <w:sz w:val="24"/>
          <w:szCs w:val="24"/>
          <w:u w:val="single"/>
        </w:rPr>
        <w:t xml:space="preserve">conservano la possibilità </w:t>
      </w:r>
      <w:r w:rsidR="00C45237">
        <w:rPr>
          <w:rFonts w:ascii="DecimaWE Rg" w:hAnsi="DecimaWE Rg"/>
          <w:sz w:val="24"/>
          <w:szCs w:val="24"/>
          <w:u w:val="single"/>
        </w:rPr>
        <w:t xml:space="preserve">di ottenere la garanzia diretta del Fondo centrale e, dunque, </w:t>
      </w:r>
      <w:r w:rsidR="00DE56FF" w:rsidRPr="00C45237">
        <w:rPr>
          <w:rFonts w:ascii="DecimaWE Rg" w:hAnsi="DecimaWE Rg"/>
          <w:sz w:val="24"/>
          <w:szCs w:val="24"/>
          <w:u w:val="single"/>
        </w:rPr>
        <w:t>di usufruire dell’</w:t>
      </w:r>
      <w:r w:rsidR="0025471A" w:rsidRPr="00C45237">
        <w:rPr>
          <w:rFonts w:ascii="DecimaWE Rg" w:hAnsi="DecimaWE Rg"/>
          <w:sz w:val="24"/>
          <w:szCs w:val="24"/>
          <w:u w:val="single"/>
        </w:rPr>
        <w:t>integrazione della Sezione speciale</w:t>
      </w:r>
      <w:r w:rsidR="00C45237">
        <w:rPr>
          <w:rFonts w:ascii="DecimaWE Rg" w:hAnsi="DecimaWE Rg"/>
          <w:sz w:val="24"/>
          <w:szCs w:val="24"/>
          <w:u w:val="single"/>
        </w:rPr>
        <w:t xml:space="preserve"> FVG</w:t>
      </w:r>
      <w:r w:rsidR="006E6427" w:rsidRPr="00C45237">
        <w:rPr>
          <w:rFonts w:ascii="DecimaWE Rg" w:hAnsi="DecimaWE Rg"/>
          <w:sz w:val="24"/>
          <w:szCs w:val="24"/>
          <w:u w:val="single"/>
        </w:rPr>
        <w:t xml:space="preserve">, oltre che su tutte le operazioni di portafoglio di qualsiasi valore, anche sulle operazioni di valore </w:t>
      </w:r>
      <w:r w:rsidR="004F51D2" w:rsidRPr="00C45237">
        <w:rPr>
          <w:rFonts w:ascii="DecimaWE Rg" w:hAnsi="DecimaWE Rg"/>
          <w:sz w:val="24"/>
          <w:szCs w:val="24"/>
          <w:u w:val="single"/>
        </w:rPr>
        <w:t>inferiore a 25.001</w:t>
      </w:r>
      <w:r w:rsidR="006E6427" w:rsidRPr="00C45237">
        <w:rPr>
          <w:rFonts w:ascii="DecimaWE Rg" w:hAnsi="DecimaWE Rg"/>
          <w:sz w:val="24"/>
          <w:szCs w:val="24"/>
          <w:u w:val="single"/>
        </w:rPr>
        <w:t xml:space="preserve"> euro e </w:t>
      </w:r>
      <w:r w:rsidR="004F51D2" w:rsidRPr="00C45237">
        <w:rPr>
          <w:rFonts w:ascii="DecimaWE Rg" w:hAnsi="DecimaWE Rg"/>
          <w:sz w:val="24"/>
          <w:szCs w:val="24"/>
          <w:u w:val="single"/>
        </w:rPr>
        <w:t>superiore a 175.000</w:t>
      </w:r>
      <w:r w:rsidR="006E6427" w:rsidRPr="00C45237">
        <w:rPr>
          <w:rFonts w:ascii="DecimaWE Rg" w:hAnsi="DecimaWE Rg"/>
          <w:sz w:val="24"/>
          <w:szCs w:val="24"/>
          <w:u w:val="single"/>
        </w:rPr>
        <w:t xml:space="preserve"> euro</w:t>
      </w:r>
      <w:r w:rsidR="00DE56FF">
        <w:rPr>
          <w:rFonts w:ascii="DecimaWE Rg" w:hAnsi="DecimaWE Rg"/>
          <w:sz w:val="24"/>
          <w:szCs w:val="24"/>
        </w:rPr>
        <w:t>.</w:t>
      </w:r>
    </w:p>
    <w:p w:rsidR="006E6427" w:rsidRDefault="006E6427" w:rsidP="00A309F0">
      <w:pPr>
        <w:spacing w:after="0" w:line="240" w:lineRule="auto"/>
        <w:jc w:val="both"/>
        <w:rPr>
          <w:rFonts w:ascii="DecimaWE Rg" w:hAnsi="DecimaWE Rg"/>
          <w:sz w:val="24"/>
          <w:szCs w:val="24"/>
        </w:rPr>
      </w:pPr>
    </w:p>
    <w:sectPr w:rsidR="006E6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E38"/>
    <w:multiLevelType w:val="hybridMultilevel"/>
    <w:tmpl w:val="2264AF1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84CCD"/>
    <w:multiLevelType w:val="hybridMultilevel"/>
    <w:tmpl w:val="520C080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62F85"/>
    <w:multiLevelType w:val="hybridMultilevel"/>
    <w:tmpl w:val="77D005CA"/>
    <w:lvl w:ilvl="0" w:tplc="4FFA9C28">
      <w:start w:val="1"/>
      <w:numFmt w:val="bullet"/>
      <w:lvlText w:val="-"/>
      <w:lvlJc w:val="left"/>
      <w:pPr>
        <w:ind w:left="36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CF"/>
    <w:rsid w:val="000B728B"/>
    <w:rsid w:val="000D55A0"/>
    <w:rsid w:val="000E2963"/>
    <w:rsid w:val="0010174B"/>
    <w:rsid w:val="00177ECE"/>
    <w:rsid w:val="00205BB2"/>
    <w:rsid w:val="0025471A"/>
    <w:rsid w:val="00257FF9"/>
    <w:rsid w:val="0028666F"/>
    <w:rsid w:val="00336B54"/>
    <w:rsid w:val="003E145A"/>
    <w:rsid w:val="00485DC3"/>
    <w:rsid w:val="004F51D2"/>
    <w:rsid w:val="00515DB0"/>
    <w:rsid w:val="00534C21"/>
    <w:rsid w:val="005824EE"/>
    <w:rsid w:val="005971F1"/>
    <w:rsid w:val="005D1044"/>
    <w:rsid w:val="005D12CF"/>
    <w:rsid w:val="005F39A4"/>
    <w:rsid w:val="005F4183"/>
    <w:rsid w:val="006343DD"/>
    <w:rsid w:val="00665E5A"/>
    <w:rsid w:val="006C4A30"/>
    <w:rsid w:val="006E6427"/>
    <w:rsid w:val="007737EB"/>
    <w:rsid w:val="00780E88"/>
    <w:rsid w:val="007B19F4"/>
    <w:rsid w:val="007C35A3"/>
    <w:rsid w:val="008046D1"/>
    <w:rsid w:val="008B46EE"/>
    <w:rsid w:val="00917D0D"/>
    <w:rsid w:val="00A12B06"/>
    <w:rsid w:val="00A309F0"/>
    <w:rsid w:val="00A33BAF"/>
    <w:rsid w:val="00BD15E4"/>
    <w:rsid w:val="00C45237"/>
    <w:rsid w:val="00CD583B"/>
    <w:rsid w:val="00D8292B"/>
    <w:rsid w:val="00DA3711"/>
    <w:rsid w:val="00DA6368"/>
    <w:rsid w:val="00DE56FF"/>
    <w:rsid w:val="00E12A41"/>
    <w:rsid w:val="00E345FB"/>
    <w:rsid w:val="00E43F21"/>
    <w:rsid w:val="00E80734"/>
    <w:rsid w:val="00EF39FE"/>
    <w:rsid w:val="00F40FAF"/>
    <w:rsid w:val="00F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16849-1966-4026-9F5B-43933E99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5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34C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AEA6-76EA-4BF3-92DD-A046D02E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Chemello Laura</cp:lastModifiedBy>
  <cp:revision>2</cp:revision>
  <cp:lastPrinted>2018-10-24T15:37:00Z</cp:lastPrinted>
  <dcterms:created xsi:type="dcterms:W3CDTF">2020-03-04T13:40:00Z</dcterms:created>
  <dcterms:modified xsi:type="dcterms:W3CDTF">2020-03-04T13:40:00Z</dcterms:modified>
</cp:coreProperties>
</file>