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6C" w:rsidRDefault="005D7533">
      <w:pPr>
        <w:pStyle w:val="Corpotesto"/>
        <w:spacing w:before="84"/>
        <w:ind w:left="2869" w:right="3159" w:hanging="51"/>
        <w:jc w:val="center"/>
      </w:pPr>
      <w:r>
        <w:t>SCHEDA DESCRITTIVA DEL PROCEDIMENTO DI: ACCERTAMENTO DI COMPATIBILITA’ PAESAGGISTICA</w:t>
      </w:r>
    </w:p>
    <w:p w:rsidR="003A5C6C" w:rsidRDefault="005D7533">
      <w:pPr>
        <w:pStyle w:val="Corpotesto"/>
        <w:spacing w:before="0"/>
        <w:ind w:left="2334" w:right="2674"/>
        <w:jc w:val="center"/>
      </w:pPr>
      <w:r>
        <w:t>(ARTT. 167, C. 4 E 5, E 181, C. 1 TER E 1 QUATER, D.LGS. 42/2004)</w:t>
      </w:r>
    </w:p>
    <w:p w:rsidR="003A5C6C" w:rsidRDefault="003A5C6C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9861"/>
      </w:tblGrid>
      <w:tr w:rsidR="003A5C6C">
        <w:trPr>
          <w:trHeight w:val="194"/>
        </w:trPr>
        <w:tc>
          <w:tcPr>
            <w:tcW w:w="326" w:type="dxa"/>
          </w:tcPr>
          <w:p w:rsidR="003A5C6C" w:rsidRDefault="005D7533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9861" w:type="dxa"/>
          </w:tcPr>
          <w:p w:rsidR="003A5C6C" w:rsidRDefault="005D7533">
            <w:pPr>
              <w:pStyle w:val="TableParagraph"/>
              <w:spacing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INDIVIDUAZIONE DEL PROCEDIMENTO</w:t>
            </w:r>
          </w:p>
        </w:tc>
      </w:tr>
      <w:tr w:rsidR="003A5C6C">
        <w:trPr>
          <w:trHeight w:val="577"/>
        </w:trPr>
        <w:tc>
          <w:tcPr>
            <w:tcW w:w="10187" w:type="dxa"/>
            <w:gridSpan w:val="2"/>
          </w:tcPr>
          <w:p w:rsidR="003A5C6C" w:rsidRDefault="005D7533">
            <w:pPr>
              <w:pStyle w:val="TableParagraph"/>
              <w:rPr>
                <w:sz w:val="16"/>
              </w:rPr>
            </w:pPr>
            <w:bookmarkStart w:id="0" w:name="Autorizzazione_paesaggistica_in_sanatori"/>
            <w:bookmarkEnd w:id="0"/>
            <w:r>
              <w:rPr>
                <w:sz w:val="16"/>
              </w:rPr>
              <w:t>Autorizzazione paesaggistica in sanatoria per interventi eseguiti in assenza o in difformità dall’autorizzazione paesaggistica, riferibili ad “abusi minori” (interventi elencati alle lettere a), b) e c) del comma 4 dell’art. 167 del d.lgs. 42/2004 - Codice dei beni culturali e del</w:t>
            </w:r>
          </w:p>
          <w:p w:rsidR="003A5C6C" w:rsidRDefault="005D753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paesaggio) .</w:t>
            </w:r>
          </w:p>
        </w:tc>
      </w:tr>
    </w:tbl>
    <w:p w:rsidR="003A5C6C" w:rsidRDefault="003A5C6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9861"/>
      </w:tblGrid>
      <w:tr w:rsidR="003A5C6C">
        <w:trPr>
          <w:trHeight w:val="191"/>
        </w:trPr>
        <w:tc>
          <w:tcPr>
            <w:tcW w:w="326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9861" w:type="dxa"/>
          </w:tcPr>
          <w:p w:rsidR="003A5C6C" w:rsidRDefault="005D753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CHI E’ INTERESSATO</w:t>
            </w:r>
          </w:p>
        </w:tc>
      </w:tr>
      <w:tr w:rsidR="003A5C6C">
        <w:trPr>
          <w:trHeight w:val="580"/>
        </w:trPr>
        <w:tc>
          <w:tcPr>
            <w:tcW w:w="10187" w:type="dxa"/>
            <w:gridSpan w:val="2"/>
          </w:tcPr>
          <w:p w:rsidR="003A5C6C" w:rsidRDefault="005D7533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I proprietari, possessori o detentori a qualsiasi titolo di immobili di interesse paesaggistico di cui all’art. 134 del d.lgs. 42/2004 che</w:t>
            </w:r>
          </w:p>
          <w:p w:rsidR="003A5C6C" w:rsidRDefault="005D7533" w:rsidP="00603A3E">
            <w:pPr>
              <w:pStyle w:val="TableParagraph"/>
              <w:spacing w:before="7" w:line="192" w:lineRule="exact"/>
              <w:rPr>
                <w:sz w:val="16"/>
              </w:rPr>
            </w:pPr>
            <w:r>
              <w:rPr>
                <w:sz w:val="16"/>
              </w:rPr>
              <w:t xml:space="preserve">abbiano eseguito, in assenza o in difformità </w:t>
            </w:r>
            <w:proofErr w:type="spellStart"/>
            <w:r>
              <w:rPr>
                <w:sz w:val="16"/>
              </w:rPr>
              <w:t>da’’autorizzazione</w:t>
            </w:r>
            <w:proofErr w:type="spellEnd"/>
            <w:r>
              <w:rPr>
                <w:sz w:val="16"/>
              </w:rPr>
              <w:t xml:space="preserve"> paesaggistica, “abusi minori” riconducibili alle tipologie elencate al comma 4 dell’art. 167.</w:t>
            </w:r>
          </w:p>
        </w:tc>
      </w:tr>
    </w:tbl>
    <w:p w:rsidR="003A5C6C" w:rsidRDefault="003A5C6C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9845"/>
      </w:tblGrid>
      <w:tr w:rsidR="003A5C6C">
        <w:trPr>
          <w:trHeight w:val="194"/>
        </w:trPr>
        <w:tc>
          <w:tcPr>
            <w:tcW w:w="343" w:type="dxa"/>
          </w:tcPr>
          <w:p w:rsidR="003A5C6C" w:rsidRDefault="005D7533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845" w:type="dxa"/>
          </w:tcPr>
          <w:p w:rsidR="003A5C6C" w:rsidRDefault="005D7533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CHE COSA SI DEVE FARE</w:t>
            </w:r>
          </w:p>
        </w:tc>
      </w:tr>
      <w:tr w:rsidR="003A5C6C">
        <w:trPr>
          <w:trHeight w:val="772"/>
        </w:trPr>
        <w:tc>
          <w:tcPr>
            <w:tcW w:w="10188" w:type="dxa"/>
            <w:gridSpan w:val="2"/>
          </w:tcPr>
          <w:p w:rsidR="003A5C6C" w:rsidRDefault="005D7533">
            <w:pPr>
              <w:pStyle w:val="TableParagraph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Presentare domanda di accertamento di compatibilità paesaggistica al</w:t>
            </w:r>
            <w:r w:rsidR="00603A3E">
              <w:rPr>
                <w:sz w:val="16"/>
              </w:rPr>
              <w:t>l’Ente competente</w:t>
            </w:r>
            <w:r w:rsidR="00E575D5">
              <w:rPr>
                <w:sz w:val="16"/>
              </w:rPr>
              <w:t xml:space="preserve"> secondo il modello di cui all’allegato 2 del </w:t>
            </w:r>
            <w:proofErr w:type="spellStart"/>
            <w:proofErr w:type="gramStart"/>
            <w:r w:rsidR="00E575D5">
              <w:rPr>
                <w:sz w:val="16"/>
              </w:rPr>
              <w:t>D.Preg</w:t>
            </w:r>
            <w:proofErr w:type="spellEnd"/>
            <w:proofErr w:type="gramEnd"/>
            <w:r w:rsidR="00E575D5">
              <w:rPr>
                <w:sz w:val="16"/>
              </w:rPr>
              <w:t xml:space="preserve"> 026/2021</w:t>
            </w:r>
            <w:r>
              <w:rPr>
                <w:sz w:val="16"/>
              </w:rPr>
              <w:t>, corredata dalla documentazione di cui</w:t>
            </w:r>
            <w:r w:rsidR="00E575D5">
              <w:rPr>
                <w:sz w:val="16"/>
              </w:rPr>
              <w:t xml:space="preserve"> al </w:t>
            </w:r>
            <w:proofErr w:type="spellStart"/>
            <w:r w:rsidR="00E575D5">
              <w:rPr>
                <w:sz w:val="16"/>
              </w:rPr>
              <w:t>d.P.C.M</w:t>
            </w:r>
            <w:proofErr w:type="spellEnd"/>
            <w:r w:rsidR="00E575D5">
              <w:rPr>
                <w:sz w:val="16"/>
              </w:rPr>
              <w:t xml:space="preserve">. 12 dicembre 2005  e dall’articolo 5 del DPREG 026/2021 </w:t>
            </w:r>
            <w:r>
              <w:rPr>
                <w:sz w:val="16"/>
              </w:rPr>
              <w:t>relativo alla documentazione necessaria alla verifica della compatibilità paesaggistica degli interventi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proposti,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pubblicato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Gazzetta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Ufficiale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gennaio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2006,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esito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favorevole,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sanzione</w:t>
            </w:r>
          </w:p>
          <w:p w:rsidR="003A5C6C" w:rsidRDefault="005D7533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>
              <w:rPr>
                <w:sz w:val="16"/>
              </w:rPr>
              <w:t>pecuniaria di cui al comma 5 dell’art. 167.</w:t>
            </w:r>
          </w:p>
        </w:tc>
      </w:tr>
    </w:tbl>
    <w:p w:rsidR="003A5C6C" w:rsidRDefault="003A5C6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629"/>
        <w:gridCol w:w="5219"/>
      </w:tblGrid>
      <w:tr w:rsidR="003A5C6C">
        <w:trPr>
          <w:trHeight w:val="191"/>
        </w:trPr>
        <w:tc>
          <w:tcPr>
            <w:tcW w:w="338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9848" w:type="dxa"/>
            <w:gridSpan w:val="2"/>
          </w:tcPr>
          <w:p w:rsidR="003A5C6C" w:rsidRDefault="005D753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NORMATIVA APPLICABILE</w:t>
            </w:r>
          </w:p>
        </w:tc>
      </w:tr>
      <w:tr w:rsidR="003A5C6C">
        <w:trPr>
          <w:trHeight w:val="242"/>
        </w:trPr>
        <w:tc>
          <w:tcPr>
            <w:tcW w:w="4967" w:type="dxa"/>
            <w:gridSpan w:val="2"/>
          </w:tcPr>
          <w:p w:rsidR="003A5C6C" w:rsidRDefault="005D7533">
            <w:pPr>
              <w:pStyle w:val="TableParagraph"/>
              <w:spacing w:line="191" w:lineRule="exact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Norme nazionali</w:t>
            </w:r>
          </w:p>
        </w:tc>
        <w:tc>
          <w:tcPr>
            <w:tcW w:w="5219" w:type="dxa"/>
          </w:tcPr>
          <w:p w:rsidR="003A5C6C" w:rsidRDefault="005D7533"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Norme regionali</w:t>
            </w:r>
          </w:p>
        </w:tc>
      </w:tr>
      <w:tr w:rsidR="003A5C6C">
        <w:trPr>
          <w:trHeight w:val="580"/>
        </w:trPr>
        <w:tc>
          <w:tcPr>
            <w:tcW w:w="4967" w:type="dxa"/>
            <w:gridSpan w:val="2"/>
          </w:tcPr>
          <w:p w:rsidR="003A5C6C" w:rsidRDefault="005D7533">
            <w:pPr>
              <w:pStyle w:val="TableParagraph"/>
              <w:spacing w:line="191" w:lineRule="exact"/>
              <w:ind w:left="393"/>
              <w:rPr>
                <w:sz w:val="16"/>
              </w:rPr>
            </w:pPr>
            <w:r>
              <w:rPr>
                <w:sz w:val="16"/>
              </w:rPr>
              <w:t>Decreto legislativo 22 gennaio 2004 n. 42, artt. 167 e 181</w:t>
            </w:r>
          </w:p>
          <w:p w:rsidR="003A5C6C" w:rsidRDefault="005D7533">
            <w:pPr>
              <w:pStyle w:val="TableParagraph"/>
              <w:spacing w:before="7" w:line="192" w:lineRule="exact"/>
              <w:ind w:left="393" w:right="133"/>
              <w:rPr>
                <w:sz w:val="16"/>
              </w:rPr>
            </w:pPr>
            <w:r>
              <w:rPr>
                <w:sz w:val="16"/>
              </w:rPr>
              <w:t>Decreto Presidente del Consiglio dei Ministri 12 dicembre 2005 Legge 29 luglio 2014, n. 106, art. 12, c. 1 bis</w:t>
            </w:r>
          </w:p>
        </w:tc>
        <w:tc>
          <w:tcPr>
            <w:tcW w:w="5219" w:type="dxa"/>
          </w:tcPr>
          <w:p w:rsidR="003A5C6C" w:rsidRDefault="00603A3E" w:rsidP="00603A3E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Legge regionale 23 febb</w:t>
            </w:r>
            <w:r w:rsidR="00DD1E06">
              <w:rPr>
                <w:sz w:val="16"/>
              </w:rPr>
              <w:t>raio 2007, n. 5, art 60, comma 6</w:t>
            </w:r>
          </w:p>
          <w:p w:rsidR="00DD1E06" w:rsidRDefault="00DD1E06" w:rsidP="00603A3E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D.PREG 026/2021, art. 5</w:t>
            </w:r>
          </w:p>
        </w:tc>
      </w:tr>
    </w:tbl>
    <w:p w:rsidR="003A5C6C" w:rsidRDefault="003A5C6C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9873"/>
      </w:tblGrid>
      <w:tr w:rsidR="003A5C6C">
        <w:trPr>
          <w:trHeight w:val="194"/>
        </w:trPr>
        <w:tc>
          <w:tcPr>
            <w:tcW w:w="314" w:type="dxa"/>
          </w:tcPr>
          <w:p w:rsidR="003A5C6C" w:rsidRDefault="005D7533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9873" w:type="dxa"/>
          </w:tcPr>
          <w:p w:rsidR="003A5C6C" w:rsidRDefault="005D7533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CHE CARATTERISTICHE O REQUISITI DEVE AVERE L’INTERVENTO OGGETTO DI ACCERTAMENTO</w:t>
            </w:r>
          </w:p>
        </w:tc>
      </w:tr>
      <w:tr w:rsidR="003A5C6C">
        <w:trPr>
          <w:trHeight w:val="964"/>
        </w:trPr>
        <w:tc>
          <w:tcPr>
            <w:tcW w:w="10187" w:type="dxa"/>
            <w:gridSpan w:val="2"/>
          </w:tcPr>
          <w:p w:rsidR="00603A3E" w:rsidRDefault="005D75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Deve rientrare tassativamente in una delle seguenti casistiche previste dal comma 4 dell’art. 167:</w:t>
            </w:r>
          </w:p>
          <w:p w:rsidR="00603A3E" w:rsidRDefault="005D75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a) lavori che non abbiano determinato creazione di superfici utili o volumi ovvero aumento di quelli legittimamente realizzati;</w:t>
            </w:r>
          </w:p>
          <w:p w:rsidR="003A5C6C" w:rsidRDefault="005D75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b) utilizzo di materiali diversi da quelli autorizzati;</w:t>
            </w:r>
          </w:p>
          <w:p w:rsidR="003A5C6C" w:rsidRDefault="005D7533">
            <w:pPr>
              <w:pStyle w:val="TableParagraph"/>
              <w:spacing w:line="193" w:lineRule="exact"/>
              <w:ind w:left="391"/>
              <w:rPr>
                <w:sz w:val="16"/>
              </w:rPr>
            </w:pPr>
            <w:r>
              <w:rPr>
                <w:sz w:val="16"/>
              </w:rPr>
              <w:t xml:space="preserve">c) interventi di manutenzione ordinaria o straordinaria ai sensi dell’art. 3 del </w:t>
            </w:r>
            <w:proofErr w:type="spellStart"/>
            <w:r>
              <w:rPr>
                <w:sz w:val="16"/>
              </w:rPr>
              <w:t>dpr</w:t>
            </w:r>
            <w:proofErr w:type="spellEnd"/>
            <w:r>
              <w:rPr>
                <w:sz w:val="16"/>
              </w:rPr>
              <w:t xml:space="preserve"> 380/2001.</w:t>
            </w:r>
          </w:p>
          <w:p w:rsidR="003A5C6C" w:rsidRDefault="005D7533" w:rsidP="00603A3E">
            <w:pPr>
              <w:pStyle w:val="TableParagraph"/>
              <w:spacing w:before="2" w:line="194" w:lineRule="exact"/>
              <w:rPr>
                <w:sz w:val="16"/>
              </w:rPr>
            </w:pPr>
            <w:r>
              <w:rPr>
                <w:sz w:val="16"/>
              </w:rPr>
              <w:t>Deve essere conforme alle prescrizioni contenute nei provvedimenti di dichiarazione di interesse pubblico e</w:t>
            </w:r>
            <w:r w:rsidR="00603A3E">
              <w:rPr>
                <w:sz w:val="16"/>
              </w:rPr>
              <w:t xml:space="preserve"> nel PPR</w:t>
            </w:r>
            <w:r>
              <w:rPr>
                <w:sz w:val="16"/>
              </w:rPr>
              <w:t xml:space="preserve"> e compatibile con il contesto paesaggistico di riferimento.</w:t>
            </w:r>
          </w:p>
        </w:tc>
      </w:tr>
    </w:tbl>
    <w:p w:rsidR="003A5C6C" w:rsidRDefault="003A5C6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9879"/>
      </w:tblGrid>
      <w:tr w:rsidR="003A5C6C">
        <w:trPr>
          <w:trHeight w:val="191"/>
        </w:trPr>
        <w:tc>
          <w:tcPr>
            <w:tcW w:w="310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9879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bookmarkStart w:id="1" w:name="DOVE_SI_PRESENTA_LA_DOMANDA___-_DURATA_D"/>
            <w:bookmarkEnd w:id="1"/>
            <w:r>
              <w:rPr>
                <w:b/>
                <w:sz w:val="16"/>
              </w:rPr>
              <w:t>DOVE SI PRESENTA LA DOMANDA - DURATA DEL PROCEDIMENTO</w:t>
            </w:r>
          </w:p>
        </w:tc>
      </w:tr>
      <w:tr w:rsidR="003A5C6C">
        <w:trPr>
          <w:trHeight w:val="388"/>
        </w:trPr>
        <w:tc>
          <w:tcPr>
            <w:tcW w:w="10189" w:type="dxa"/>
            <w:gridSpan w:val="2"/>
          </w:tcPr>
          <w:p w:rsidR="00924395" w:rsidRPr="00924395" w:rsidRDefault="00924395" w:rsidP="00924395">
            <w:pPr>
              <w:pStyle w:val="TableParagraph"/>
              <w:tabs>
                <w:tab w:val="left" w:pos="393"/>
              </w:tabs>
              <w:spacing w:line="237" w:lineRule="auto"/>
              <w:ind w:left="0" w:right="453"/>
              <w:rPr>
                <w:spacing w:val="-13"/>
                <w:sz w:val="17"/>
              </w:rPr>
            </w:pPr>
            <w:r w:rsidRPr="00924395">
              <w:rPr>
                <w:spacing w:val="-13"/>
                <w:sz w:val="17"/>
              </w:rPr>
              <w:t>L’accertamento della compatibilità paesaggistica e l’applicazione delle relative sanzioni pecuniarie previste dall’articolo 167 del Codice spetta alla Regione e ai Comuni secondo la suddivisione di compet</w:t>
            </w:r>
            <w:r w:rsidR="00DD1E06">
              <w:rPr>
                <w:spacing w:val="-13"/>
                <w:sz w:val="17"/>
              </w:rPr>
              <w:t>enza stabilita dall’articolo 60</w:t>
            </w:r>
            <w:r w:rsidR="00EF2A01">
              <w:rPr>
                <w:spacing w:val="-13"/>
                <w:sz w:val="17"/>
              </w:rPr>
              <w:t xml:space="preserve"> LR 5/2007:</w:t>
            </w:r>
          </w:p>
          <w:p w:rsidR="006F5400" w:rsidRDefault="006F5400" w:rsidP="006F5400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237" w:lineRule="auto"/>
              <w:ind w:right="453"/>
              <w:rPr>
                <w:sz w:val="17"/>
              </w:rPr>
            </w:pPr>
            <w:r>
              <w:rPr>
                <w:sz w:val="17"/>
              </w:rPr>
              <w:t>Alla</w:t>
            </w:r>
            <w:r>
              <w:rPr>
                <w:spacing w:val="-13"/>
                <w:sz w:val="17"/>
              </w:rPr>
              <w:t xml:space="preserve"> Direzione Centrale infrastrutture e territorio, Servizio pianificazione paesaggistica, territoriale e strategica </w:t>
            </w:r>
            <w:r>
              <w:rPr>
                <w:sz w:val="17"/>
              </w:rPr>
              <w:t>per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gli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interventi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elencati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all’art.</w:t>
            </w:r>
            <w:r>
              <w:rPr>
                <w:spacing w:val="-13"/>
                <w:sz w:val="17"/>
              </w:rPr>
              <w:t xml:space="preserve"> 60 della legge regionale 5/2007 </w:t>
            </w:r>
            <w:r>
              <w:rPr>
                <w:sz w:val="17"/>
              </w:rPr>
              <w:t>ovvero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per qualsiasi intervento nel caso in cui il comune territorialmente competente non sia delegato all’esercizio delle funzioni paesaggistiche;</w:t>
            </w:r>
          </w:p>
          <w:p w:rsidR="006F5400" w:rsidRDefault="006F5400" w:rsidP="006F540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" w:line="194" w:lineRule="exact"/>
              <w:ind w:right="193"/>
              <w:rPr>
                <w:sz w:val="16"/>
              </w:rPr>
            </w:pPr>
            <w:r>
              <w:rPr>
                <w:sz w:val="17"/>
              </w:rPr>
              <w:t xml:space="preserve">al Comune territorialmente competente e delegato dalla Regione all’esercizio delle funzioni paesaggistiche per gli interventi non elencati all’art. 60, </w:t>
            </w:r>
            <w:proofErr w:type="spellStart"/>
            <w:r>
              <w:rPr>
                <w:sz w:val="17"/>
              </w:rPr>
              <w:t>lr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5/2007.</w:t>
            </w:r>
          </w:p>
          <w:p w:rsidR="003A5C6C" w:rsidRDefault="003A5C6C" w:rsidP="006F5400">
            <w:pPr>
              <w:pStyle w:val="TableParagraph"/>
              <w:tabs>
                <w:tab w:val="left" w:pos="391"/>
              </w:tabs>
              <w:spacing w:before="3" w:line="194" w:lineRule="exact"/>
              <w:ind w:left="391" w:right="193"/>
              <w:rPr>
                <w:sz w:val="16"/>
              </w:rPr>
            </w:pPr>
          </w:p>
        </w:tc>
      </w:tr>
      <w:tr w:rsidR="003A5C6C" w:rsidRPr="006F5400">
        <w:trPr>
          <w:trHeight w:val="190"/>
        </w:trPr>
        <w:tc>
          <w:tcPr>
            <w:tcW w:w="10189" w:type="dxa"/>
            <w:gridSpan w:val="2"/>
          </w:tcPr>
          <w:p w:rsidR="003A5C6C" w:rsidRPr="006F5400" w:rsidRDefault="005D7533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171" w:lineRule="exact"/>
              <w:rPr>
                <w:b/>
                <w:sz w:val="16"/>
              </w:rPr>
            </w:pPr>
            <w:r w:rsidRPr="006F5400">
              <w:rPr>
                <w:b/>
                <w:sz w:val="16"/>
              </w:rPr>
              <w:t>Termine massimo di conclusione del procedimento: 180 gg. dal ricevimento</w:t>
            </w:r>
            <w:r w:rsidRPr="006F5400">
              <w:rPr>
                <w:b/>
                <w:spacing w:val="-10"/>
                <w:sz w:val="16"/>
              </w:rPr>
              <w:t xml:space="preserve"> </w:t>
            </w:r>
            <w:r w:rsidRPr="006F5400">
              <w:rPr>
                <w:b/>
                <w:sz w:val="16"/>
              </w:rPr>
              <w:t>dell’istanza.</w:t>
            </w:r>
          </w:p>
        </w:tc>
      </w:tr>
    </w:tbl>
    <w:p w:rsidR="003A5C6C" w:rsidRPr="006F5400" w:rsidRDefault="003A5C6C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269"/>
        <w:gridCol w:w="3239"/>
        <w:gridCol w:w="2339"/>
      </w:tblGrid>
      <w:tr w:rsidR="003A5C6C">
        <w:trPr>
          <w:trHeight w:val="193"/>
        </w:trPr>
        <w:tc>
          <w:tcPr>
            <w:tcW w:w="338" w:type="dxa"/>
          </w:tcPr>
          <w:p w:rsidR="003A5C6C" w:rsidRDefault="005D7533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  <w:tc>
          <w:tcPr>
            <w:tcW w:w="9847" w:type="dxa"/>
            <w:gridSpan w:val="3"/>
          </w:tcPr>
          <w:p w:rsidR="003A5C6C" w:rsidRDefault="005D7533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DEL FLUSSO DEL PROCEDIMENTO COMPRENSIVO DI EVENTUALI SUB PROCEDIMENTI PREVISTI</w:t>
            </w:r>
          </w:p>
        </w:tc>
      </w:tr>
      <w:tr w:rsidR="003A5C6C">
        <w:trPr>
          <w:trHeight w:val="191"/>
        </w:trPr>
        <w:tc>
          <w:tcPr>
            <w:tcW w:w="4607" w:type="dxa"/>
            <w:gridSpan w:val="2"/>
          </w:tcPr>
          <w:p w:rsidR="003A5C6C" w:rsidRDefault="005D753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Descrizione del flusso:</w:t>
            </w:r>
          </w:p>
        </w:tc>
        <w:tc>
          <w:tcPr>
            <w:tcW w:w="3239" w:type="dxa"/>
          </w:tcPr>
          <w:p w:rsidR="003A5C6C" w:rsidRDefault="005D7533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Sub procedimenti previsti:</w:t>
            </w:r>
          </w:p>
        </w:tc>
        <w:tc>
          <w:tcPr>
            <w:tcW w:w="2339" w:type="dxa"/>
          </w:tcPr>
          <w:p w:rsidR="003A5C6C" w:rsidRDefault="005D7533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Iniziativa:</w:t>
            </w:r>
          </w:p>
        </w:tc>
      </w:tr>
      <w:tr w:rsidR="003A5C6C">
        <w:trPr>
          <w:trHeight w:val="193"/>
        </w:trPr>
        <w:tc>
          <w:tcPr>
            <w:tcW w:w="4607" w:type="dxa"/>
            <w:gridSpan w:val="2"/>
          </w:tcPr>
          <w:p w:rsidR="003A5C6C" w:rsidRDefault="005D753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Presentazione dell’istanza e della relativa documentazione</w:t>
            </w:r>
          </w:p>
        </w:tc>
        <w:tc>
          <w:tcPr>
            <w:tcW w:w="3239" w:type="dxa"/>
          </w:tcPr>
          <w:p w:rsidR="003A5C6C" w:rsidRDefault="003A5C6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</w:tcPr>
          <w:p w:rsidR="003A5C6C" w:rsidRDefault="005D7533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di parte</w:t>
            </w:r>
            <w:r w:rsidR="00EF2A01">
              <w:rPr>
                <w:sz w:val="16"/>
              </w:rPr>
              <w:t xml:space="preserve"> </w:t>
            </w:r>
          </w:p>
        </w:tc>
      </w:tr>
      <w:tr w:rsidR="00EF2A01">
        <w:trPr>
          <w:trHeight w:val="193"/>
        </w:trPr>
        <w:tc>
          <w:tcPr>
            <w:tcW w:w="4607" w:type="dxa"/>
            <w:gridSpan w:val="2"/>
          </w:tcPr>
          <w:p w:rsidR="00EF2A01" w:rsidRDefault="00EF2A01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V</w:t>
            </w:r>
            <w:r w:rsidRPr="00EF2A01">
              <w:rPr>
                <w:sz w:val="16"/>
              </w:rPr>
              <w:t>erbale di segnalazione di opere abusive</w:t>
            </w:r>
          </w:p>
        </w:tc>
        <w:tc>
          <w:tcPr>
            <w:tcW w:w="3239" w:type="dxa"/>
          </w:tcPr>
          <w:p w:rsidR="00EF2A01" w:rsidRDefault="00EF2A01" w:rsidP="00EF2A01">
            <w:pPr>
              <w:pStyle w:val="TableParagraph"/>
              <w:spacing w:line="173" w:lineRule="exact"/>
              <w:rPr>
                <w:rFonts w:ascii="Times New Roman"/>
                <w:sz w:val="12"/>
              </w:rPr>
            </w:pPr>
            <w:r w:rsidRPr="00EF2A01">
              <w:rPr>
                <w:sz w:val="16"/>
              </w:rPr>
              <w:t>comunicazione di avvio del procedimento  trasmessa anche alla Procura della Repubblica presso il Tribunale competente</w:t>
            </w:r>
          </w:p>
        </w:tc>
        <w:tc>
          <w:tcPr>
            <w:tcW w:w="2339" w:type="dxa"/>
          </w:tcPr>
          <w:p w:rsidR="00EF2A01" w:rsidRDefault="00EF2A01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d’ufficio</w:t>
            </w:r>
          </w:p>
        </w:tc>
      </w:tr>
      <w:tr w:rsidR="003A5C6C">
        <w:trPr>
          <w:trHeight w:val="417"/>
        </w:trPr>
        <w:tc>
          <w:tcPr>
            <w:tcW w:w="4607" w:type="dxa"/>
            <w:gridSpan w:val="2"/>
          </w:tcPr>
          <w:p w:rsidR="003A5C6C" w:rsidRDefault="005D7533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Verifica dei requisiti di cui all’art. 167, c. 4, d.lgs. 42/2004 e, in caso positivo, invio alla Soprintendenza</w:t>
            </w:r>
          </w:p>
        </w:tc>
        <w:tc>
          <w:tcPr>
            <w:tcW w:w="3239" w:type="dxa"/>
          </w:tcPr>
          <w:p w:rsidR="003A5C6C" w:rsidRDefault="003A5C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:rsidR="003A5C6C" w:rsidRDefault="005D7533">
            <w:pPr>
              <w:pStyle w:val="TableParagraph"/>
              <w:spacing w:line="191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Comune</w:t>
            </w:r>
            <w:r w:rsidR="006F5400">
              <w:rPr>
                <w:sz w:val="16"/>
              </w:rPr>
              <w:t xml:space="preserve"> o Regione</w:t>
            </w:r>
          </w:p>
        </w:tc>
      </w:tr>
      <w:tr w:rsidR="003A5C6C">
        <w:trPr>
          <w:trHeight w:val="772"/>
        </w:trPr>
        <w:tc>
          <w:tcPr>
            <w:tcW w:w="4607" w:type="dxa"/>
            <w:gridSpan w:val="2"/>
          </w:tcPr>
          <w:p w:rsidR="003A5C6C" w:rsidRDefault="003A5C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</w:tcPr>
          <w:p w:rsidR="006F5400" w:rsidRDefault="005D7533" w:rsidP="006F5400">
            <w:pPr>
              <w:pStyle w:val="TableParagraph"/>
              <w:ind w:left="108" w:right="471"/>
              <w:rPr>
                <w:sz w:val="16"/>
              </w:rPr>
            </w:pPr>
            <w:r>
              <w:rPr>
                <w:sz w:val="16"/>
              </w:rPr>
              <w:t xml:space="preserve">Rilascio del parere obbligatorio e vincolante nei successivi 90 gg. </w:t>
            </w:r>
          </w:p>
          <w:p w:rsidR="003A5C6C" w:rsidRDefault="003A5C6C">
            <w:pPr>
              <w:pStyle w:val="TableParagraph"/>
              <w:spacing w:line="173" w:lineRule="exact"/>
              <w:ind w:left="108"/>
              <w:rPr>
                <w:sz w:val="16"/>
              </w:rPr>
            </w:pPr>
          </w:p>
        </w:tc>
        <w:tc>
          <w:tcPr>
            <w:tcW w:w="2339" w:type="dxa"/>
          </w:tcPr>
          <w:p w:rsidR="003A5C6C" w:rsidRDefault="005D7533">
            <w:pPr>
              <w:pStyle w:val="TableParagraph"/>
              <w:ind w:left="109" w:right="209"/>
              <w:rPr>
                <w:sz w:val="16"/>
              </w:rPr>
            </w:pPr>
            <w:r>
              <w:rPr>
                <w:sz w:val="16"/>
              </w:rPr>
              <w:t>Soprintendenza per i beni architettonici e paesaggistici territorialmente competente</w:t>
            </w:r>
          </w:p>
        </w:tc>
      </w:tr>
      <w:tr w:rsidR="003A5C6C">
        <w:trPr>
          <w:trHeight w:val="1739"/>
        </w:trPr>
        <w:tc>
          <w:tcPr>
            <w:tcW w:w="4607" w:type="dxa"/>
            <w:gridSpan w:val="2"/>
          </w:tcPr>
          <w:p w:rsidR="003A5C6C" w:rsidRDefault="005D7533">
            <w:pPr>
              <w:pStyle w:val="TableParagraph"/>
              <w:ind w:right="816"/>
              <w:rPr>
                <w:sz w:val="16"/>
              </w:rPr>
            </w:pPr>
            <w:r>
              <w:rPr>
                <w:sz w:val="16"/>
              </w:rPr>
              <w:t>Entro 180 gg. dal ricevimento della domanda (e comunque previo parere del Soprintendente):</w:t>
            </w:r>
          </w:p>
          <w:p w:rsidR="003A5C6C" w:rsidRDefault="005D753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195" w:lineRule="exact"/>
              <w:ind w:hanging="143"/>
              <w:rPr>
                <w:sz w:val="16"/>
              </w:rPr>
            </w:pPr>
            <w:r w:rsidRPr="006F5400">
              <w:rPr>
                <w:b/>
                <w:sz w:val="16"/>
              </w:rPr>
              <w:t>in caso di parere</w:t>
            </w:r>
            <w:r w:rsidRPr="006F5400">
              <w:rPr>
                <w:b/>
                <w:spacing w:val="-5"/>
                <w:sz w:val="16"/>
              </w:rPr>
              <w:t xml:space="preserve"> </w:t>
            </w:r>
            <w:r w:rsidRPr="006F5400">
              <w:rPr>
                <w:b/>
                <w:sz w:val="16"/>
              </w:rPr>
              <w:t>favorevole</w:t>
            </w:r>
            <w:r>
              <w:rPr>
                <w:sz w:val="16"/>
              </w:rPr>
              <w:t>:</w:t>
            </w:r>
          </w:p>
          <w:p w:rsidR="003A5C6C" w:rsidRDefault="005D7533">
            <w:pPr>
              <w:pStyle w:val="TableParagraph"/>
              <w:ind w:left="391" w:right="109"/>
              <w:rPr>
                <w:sz w:val="16"/>
              </w:rPr>
            </w:pPr>
            <w:r>
              <w:rPr>
                <w:sz w:val="16"/>
              </w:rPr>
              <w:t>adozione del provvedimento conclusivo (con eventuali prescrizioni), previa irrogazione della sanzione pecuniaria di cui al c. 5 dell’art. 167 del d.lgs. 42/2004;</w:t>
            </w:r>
          </w:p>
          <w:p w:rsidR="003A5C6C" w:rsidRDefault="005D753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195" w:lineRule="exact"/>
              <w:ind w:hanging="143"/>
              <w:rPr>
                <w:sz w:val="16"/>
              </w:rPr>
            </w:pPr>
            <w:r w:rsidRPr="006F5400">
              <w:rPr>
                <w:b/>
                <w:sz w:val="16"/>
              </w:rPr>
              <w:t>in caso di parere</w:t>
            </w:r>
            <w:r w:rsidRPr="006F5400">
              <w:rPr>
                <w:b/>
                <w:spacing w:val="-5"/>
                <w:sz w:val="16"/>
              </w:rPr>
              <w:t xml:space="preserve"> </w:t>
            </w:r>
            <w:r w:rsidRPr="006F5400">
              <w:rPr>
                <w:b/>
                <w:sz w:val="16"/>
              </w:rPr>
              <w:t>negativo</w:t>
            </w:r>
            <w:r>
              <w:rPr>
                <w:sz w:val="16"/>
              </w:rPr>
              <w:t>:</w:t>
            </w:r>
          </w:p>
          <w:p w:rsidR="003A5C6C" w:rsidRDefault="005D753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adozione dell’ordinanza di rimessione in pristino</w:t>
            </w:r>
          </w:p>
        </w:tc>
        <w:tc>
          <w:tcPr>
            <w:tcW w:w="3239" w:type="dxa"/>
          </w:tcPr>
          <w:p w:rsidR="003A5C6C" w:rsidRDefault="003A5C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9" w:type="dxa"/>
          </w:tcPr>
          <w:p w:rsidR="003A5C6C" w:rsidRDefault="005D7533">
            <w:pPr>
              <w:pStyle w:val="TableParagraph"/>
              <w:spacing w:line="191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Comune</w:t>
            </w:r>
            <w:r w:rsidR="006F5400">
              <w:rPr>
                <w:sz w:val="16"/>
              </w:rPr>
              <w:t xml:space="preserve"> o Regione</w:t>
            </w:r>
          </w:p>
        </w:tc>
      </w:tr>
    </w:tbl>
    <w:p w:rsidR="003A5C6C" w:rsidRDefault="003A5C6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037"/>
        <w:gridCol w:w="7811"/>
      </w:tblGrid>
      <w:tr w:rsidR="003A5C6C">
        <w:trPr>
          <w:trHeight w:val="191"/>
        </w:trPr>
        <w:tc>
          <w:tcPr>
            <w:tcW w:w="338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9848" w:type="dxa"/>
            <w:gridSpan w:val="2"/>
          </w:tcPr>
          <w:p w:rsidR="003A5C6C" w:rsidRDefault="005D7533">
            <w:pPr>
              <w:pStyle w:val="TableParagraph"/>
              <w:spacing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ELENCO ALLEGATI DA PRODURRE </w:t>
            </w:r>
            <w:r w:rsidR="00DD1E06">
              <w:rPr>
                <w:b/>
                <w:sz w:val="16"/>
              </w:rPr>
              <w:t xml:space="preserve">A CORREDO DELL’STANZA </w:t>
            </w:r>
            <w:r>
              <w:rPr>
                <w:b/>
                <w:sz w:val="16"/>
              </w:rPr>
              <w:t>E RELATIVE SPIEGAZIONI</w:t>
            </w:r>
          </w:p>
        </w:tc>
      </w:tr>
      <w:tr w:rsidR="003A5C6C">
        <w:trPr>
          <w:trHeight w:val="774"/>
        </w:trPr>
        <w:tc>
          <w:tcPr>
            <w:tcW w:w="2375" w:type="dxa"/>
            <w:gridSpan w:val="2"/>
          </w:tcPr>
          <w:p w:rsidR="003A5C6C" w:rsidRDefault="005D7533">
            <w:pPr>
              <w:pStyle w:val="TableParagraph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Relazione paesaggistica di cui all’allegato 1 al </w:t>
            </w:r>
            <w:proofErr w:type="spellStart"/>
            <w:r>
              <w:rPr>
                <w:sz w:val="16"/>
              </w:rPr>
              <w:t>d.P.C.M</w:t>
            </w:r>
            <w:proofErr w:type="spellEnd"/>
            <w:r>
              <w:rPr>
                <w:sz w:val="16"/>
              </w:rPr>
              <w:t>.</w:t>
            </w:r>
          </w:p>
          <w:p w:rsidR="003A5C6C" w:rsidRDefault="005D7533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12/12/2005</w:t>
            </w:r>
          </w:p>
        </w:tc>
        <w:tc>
          <w:tcPr>
            <w:tcW w:w="7811" w:type="dxa"/>
          </w:tcPr>
          <w:p w:rsidR="00DD1E06" w:rsidRDefault="005D7533" w:rsidP="0003282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4" w:lineRule="exact"/>
              <w:ind w:hanging="241"/>
              <w:rPr>
                <w:sz w:val="16"/>
              </w:rPr>
            </w:pPr>
            <w:r w:rsidRPr="00DD1E06">
              <w:rPr>
                <w:sz w:val="16"/>
              </w:rPr>
              <w:t>Sc</w:t>
            </w:r>
            <w:r w:rsidR="00DD1E06" w:rsidRPr="00DD1E06">
              <w:rPr>
                <w:sz w:val="16"/>
              </w:rPr>
              <w:t xml:space="preserve">heda tipo di cui all’Allegato 5 del </w:t>
            </w:r>
            <w:proofErr w:type="spellStart"/>
            <w:proofErr w:type="gramStart"/>
            <w:r w:rsidR="00DD1E06" w:rsidRPr="00DD1E06">
              <w:rPr>
                <w:sz w:val="16"/>
              </w:rPr>
              <w:t>D.Preg</w:t>
            </w:r>
            <w:proofErr w:type="spellEnd"/>
            <w:proofErr w:type="gramEnd"/>
            <w:r w:rsidR="00DD1E06" w:rsidRPr="00DD1E06">
              <w:rPr>
                <w:sz w:val="16"/>
              </w:rPr>
              <w:t xml:space="preserve"> 026/2021 </w:t>
            </w:r>
          </w:p>
          <w:p w:rsidR="003A5C6C" w:rsidRPr="00DD1E06" w:rsidRDefault="005D7533" w:rsidP="0003282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4" w:lineRule="exact"/>
              <w:ind w:hanging="241"/>
              <w:rPr>
                <w:sz w:val="16"/>
              </w:rPr>
            </w:pPr>
            <w:r w:rsidRPr="00DD1E06">
              <w:rPr>
                <w:sz w:val="16"/>
              </w:rPr>
              <w:t>elaborati di</w:t>
            </w:r>
            <w:r w:rsidRPr="00DD1E06">
              <w:rPr>
                <w:spacing w:val="-3"/>
                <w:sz w:val="16"/>
              </w:rPr>
              <w:t xml:space="preserve"> </w:t>
            </w:r>
            <w:r w:rsidRPr="00DD1E06">
              <w:rPr>
                <w:sz w:val="16"/>
              </w:rPr>
              <w:t>progetto</w:t>
            </w:r>
          </w:p>
          <w:p w:rsidR="009C360D" w:rsidRDefault="005D7533" w:rsidP="009C360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 w:line="194" w:lineRule="exact"/>
              <w:ind w:right="97"/>
              <w:rPr>
                <w:sz w:val="16"/>
              </w:rPr>
            </w:pPr>
            <w:r>
              <w:rPr>
                <w:sz w:val="16"/>
              </w:rPr>
              <w:t>documentazione fotografica a colori dello stato attuale dell’immobile oggetto di intervento e del suo contesto, estesa ad un adeguato intorno dell’area</w:t>
            </w:r>
            <w:r>
              <w:rPr>
                <w:spacing w:val="-8"/>
                <w:sz w:val="16"/>
              </w:rPr>
              <w:t xml:space="preserve"> </w:t>
            </w:r>
            <w:r w:rsidR="009C360D">
              <w:rPr>
                <w:sz w:val="16"/>
              </w:rPr>
              <w:t>interessata;</w:t>
            </w:r>
          </w:p>
          <w:p w:rsidR="009C360D" w:rsidRDefault="009C360D" w:rsidP="009C360D">
            <w:pPr>
              <w:pStyle w:val="TableParagraph"/>
              <w:tabs>
                <w:tab w:val="left" w:pos="349"/>
              </w:tabs>
              <w:spacing w:before="5" w:line="194" w:lineRule="exact"/>
              <w:ind w:left="348" w:right="97"/>
              <w:rPr>
                <w:sz w:val="16"/>
              </w:rPr>
            </w:pPr>
          </w:p>
        </w:tc>
      </w:tr>
      <w:tr w:rsidR="00DD1E06">
        <w:trPr>
          <w:trHeight w:val="774"/>
        </w:trPr>
        <w:tc>
          <w:tcPr>
            <w:tcW w:w="2375" w:type="dxa"/>
            <w:gridSpan w:val="2"/>
          </w:tcPr>
          <w:p w:rsidR="00DD1E06" w:rsidRDefault="00DD1E06">
            <w:pPr>
              <w:pStyle w:val="TableParagraph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Perizia di stima</w:t>
            </w:r>
          </w:p>
        </w:tc>
        <w:tc>
          <w:tcPr>
            <w:tcW w:w="7811" w:type="dxa"/>
          </w:tcPr>
          <w:p w:rsidR="00DD1E06" w:rsidRDefault="00DD1E06" w:rsidP="00DD1E06">
            <w:pPr>
              <w:pStyle w:val="TableParagraph"/>
              <w:tabs>
                <w:tab w:val="left" w:pos="349"/>
              </w:tabs>
              <w:spacing w:line="193" w:lineRule="exact"/>
              <w:ind w:left="348"/>
              <w:rPr>
                <w:sz w:val="16"/>
              </w:rPr>
            </w:pPr>
            <w:r>
              <w:rPr>
                <w:sz w:val="16"/>
              </w:rPr>
              <w:t>Nel caso di danno ambientale o profitto conseguito</w:t>
            </w:r>
          </w:p>
        </w:tc>
      </w:tr>
      <w:tr w:rsidR="00AB158C">
        <w:trPr>
          <w:trHeight w:val="774"/>
        </w:trPr>
        <w:tc>
          <w:tcPr>
            <w:tcW w:w="2375" w:type="dxa"/>
            <w:gridSpan w:val="2"/>
          </w:tcPr>
          <w:p w:rsidR="00AB158C" w:rsidRPr="00AB158C" w:rsidRDefault="00AB158C" w:rsidP="00AB158C">
            <w:pPr>
              <w:pStyle w:val="TableParagraph"/>
              <w:ind w:left="0"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</w:t>
            </w:r>
            <w:r w:rsidRPr="00AB158C">
              <w:rPr>
                <w:b/>
                <w:sz w:val="16"/>
              </w:rPr>
              <w:t>I    EFFETTI</w:t>
            </w:r>
          </w:p>
        </w:tc>
        <w:tc>
          <w:tcPr>
            <w:tcW w:w="7811" w:type="dxa"/>
          </w:tcPr>
          <w:p w:rsidR="00AB158C" w:rsidRPr="00AB158C" w:rsidRDefault="00AB158C" w:rsidP="00AB158C">
            <w:pPr>
              <w:pStyle w:val="TableParagraph"/>
              <w:tabs>
                <w:tab w:val="left" w:pos="349"/>
              </w:tabs>
              <w:spacing w:line="193" w:lineRule="exact"/>
              <w:ind w:left="0"/>
              <w:rPr>
                <w:sz w:val="16"/>
              </w:rPr>
            </w:pPr>
            <w:r w:rsidRPr="00AB158C">
              <w:rPr>
                <w:sz w:val="16"/>
              </w:rPr>
              <w:t>Qualora venga accertata la compatibilità paesaggistica:</w:t>
            </w:r>
          </w:p>
          <w:p w:rsidR="00AB158C" w:rsidRPr="00AB158C" w:rsidRDefault="00AB158C" w:rsidP="00AB158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3" w:lineRule="exact"/>
              <w:ind w:hanging="241"/>
              <w:rPr>
                <w:sz w:val="16"/>
              </w:rPr>
            </w:pPr>
            <w:r w:rsidRPr="00AB158C">
              <w:rPr>
                <w:sz w:val="16"/>
              </w:rPr>
              <w:t xml:space="preserve"> il trasgressore è tenuto al pagamento di una somma equivalente al maggiore importo tra il danno arrecato e il profitto conseguito mediante la trasgressione</w:t>
            </w:r>
            <w:r w:rsidR="00DD1E06">
              <w:rPr>
                <w:sz w:val="16"/>
              </w:rPr>
              <w:t xml:space="preserve"> (Avviso Pago PA)</w:t>
            </w:r>
            <w:r w:rsidRPr="00AB158C">
              <w:rPr>
                <w:sz w:val="16"/>
              </w:rPr>
              <w:t>.</w:t>
            </w:r>
          </w:p>
          <w:p w:rsidR="00AB158C" w:rsidRPr="00AB158C" w:rsidRDefault="00AB158C" w:rsidP="00AB158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3" w:lineRule="exact"/>
              <w:ind w:hanging="241"/>
              <w:rPr>
                <w:sz w:val="16"/>
              </w:rPr>
            </w:pPr>
            <w:r w:rsidRPr="00AB158C">
              <w:rPr>
                <w:sz w:val="16"/>
              </w:rPr>
              <w:t xml:space="preserve">L’importo della sanzione pecuniaria è determinato previa perizia di stima (in genere effettuato dall’ente procedente). </w:t>
            </w:r>
          </w:p>
          <w:p w:rsidR="00AB158C" w:rsidRPr="00AB158C" w:rsidRDefault="00AB158C" w:rsidP="00AB158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L</w:t>
            </w:r>
            <w:r w:rsidRPr="00AB158C">
              <w:rPr>
                <w:sz w:val="16"/>
              </w:rPr>
              <w:t xml:space="preserve">’accertamento di compatibilità paesaggistica non elide l’obbligo da parte dell’Autorità competente di applicare le sanzioni amministrative previste dall’art. 167 del Codice, pertanto è possibile che l’accertamento di compatibilità paesaggistica sia condizionato all’esecuzione di opere di ripristino </w:t>
            </w:r>
            <w:r w:rsidRPr="00AB158C">
              <w:rPr>
                <w:sz w:val="16"/>
              </w:rPr>
              <w:lastRenderedPageBreak/>
              <w:t>ambientale.</w:t>
            </w:r>
          </w:p>
          <w:p w:rsidR="00AB158C" w:rsidRPr="00AB158C" w:rsidRDefault="00AB158C" w:rsidP="00AB158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 w:line="194" w:lineRule="exact"/>
              <w:ind w:right="97"/>
              <w:rPr>
                <w:sz w:val="16"/>
              </w:rPr>
            </w:pPr>
            <w:r w:rsidRPr="00AB158C">
              <w:rPr>
                <w:sz w:val="16"/>
              </w:rPr>
              <w:t>Qualora l’autorità amministrativa competente abbia accertato la compatibilità paesaggistica tale accertamento deve essere comunicato all’</w:t>
            </w:r>
            <w:r w:rsidRPr="00AB158C">
              <w:rPr>
                <w:b/>
                <w:bCs/>
                <w:sz w:val="16"/>
              </w:rPr>
              <w:t>autorità giudiziaria competente ai fini dell’eventuale estinz</w:t>
            </w:r>
            <w:r>
              <w:rPr>
                <w:b/>
                <w:bCs/>
                <w:sz w:val="16"/>
              </w:rPr>
              <w:t xml:space="preserve">ione del reato penale in quanto </w:t>
            </w:r>
            <w:r w:rsidRPr="00AB158C">
              <w:rPr>
                <w:sz w:val="16"/>
              </w:rPr>
              <w:t>non si applicano le relative sanzioni penali previste dall’art. 181 comma 1 del Codice.</w:t>
            </w:r>
          </w:p>
          <w:p w:rsidR="00AB158C" w:rsidRPr="00AB158C" w:rsidRDefault="00AB158C" w:rsidP="00AB158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 w:line="194" w:lineRule="exact"/>
              <w:ind w:right="97"/>
              <w:rPr>
                <w:sz w:val="16"/>
              </w:rPr>
            </w:pPr>
            <w:r w:rsidRPr="00AB158C">
              <w:rPr>
                <w:sz w:val="16"/>
              </w:rPr>
              <w:t>L’accertamento di compatibilità paesaggistica assume efficacia immediata.</w:t>
            </w:r>
          </w:p>
          <w:p w:rsidR="00AB158C" w:rsidRDefault="00AB158C" w:rsidP="00AB158C">
            <w:pPr>
              <w:pStyle w:val="TableParagraph"/>
              <w:tabs>
                <w:tab w:val="left" w:pos="349"/>
              </w:tabs>
              <w:spacing w:line="193" w:lineRule="exact"/>
              <w:ind w:left="108"/>
              <w:rPr>
                <w:sz w:val="16"/>
              </w:rPr>
            </w:pPr>
          </w:p>
        </w:tc>
      </w:tr>
    </w:tbl>
    <w:p w:rsidR="003A5C6C" w:rsidRDefault="003A5C6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847"/>
      </w:tblGrid>
      <w:tr w:rsidR="003A5C6C">
        <w:trPr>
          <w:trHeight w:val="191"/>
        </w:trPr>
        <w:tc>
          <w:tcPr>
            <w:tcW w:w="341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9847" w:type="dxa"/>
          </w:tcPr>
          <w:p w:rsidR="003A5C6C" w:rsidRDefault="005D7533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3A5C6C">
        <w:trPr>
          <w:trHeight w:val="194"/>
        </w:trPr>
        <w:tc>
          <w:tcPr>
            <w:tcW w:w="10188" w:type="dxa"/>
            <w:gridSpan w:val="2"/>
          </w:tcPr>
          <w:p w:rsidR="003A5C6C" w:rsidRDefault="00471700" w:rsidP="00471700">
            <w:pPr>
              <w:pStyle w:val="TableParagraph"/>
              <w:spacing w:line="173" w:lineRule="exact"/>
              <w:ind w:left="448"/>
              <w:rPr>
                <w:sz w:val="16"/>
              </w:rPr>
            </w:pPr>
            <w:r>
              <w:rPr>
                <w:sz w:val="16"/>
              </w:rPr>
              <w:t>In modulistica: f</w:t>
            </w:r>
            <w:r w:rsidR="005D7533">
              <w:rPr>
                <w:sz w:val="16"/>
              </w:rPr>
              <w:t xml:space="preserve">acsimile di domanda di accertamento di compatibilità paesaggistica </w:t>
            </w:r>
            <w:r w:rsidR="005D7533">
              <w:rPr>
                <w:color w:val="0000FF"/>
                <w:sz w:val="16"/>
              </w:rPr>
              <w:t>(link</w:t>
            </w:r>
            <w:r w:rsidR="00DD1E06">
              <w:rPr>
                <w:color w:val="0000FF"/>
                <w:sz w:val="16"/>
              </w:rPr>
              <w:t xml:space="preserve">  </w:t>
            </w:r>
            <w:r w:rsidR="00DD1E06" w:rsidRPr="00DD1E06">
              <w:rPr>
                <w:color w:val="0000FF"/>
                <w:sz w:val="16"/>
              </w:rPr>
              <w:t>https://www.regione.fvg.it/rafvg/cms/RAFVG/ambiente-territorio/tutela-ambiente-gestione-risorse-naturali/FOGLIA200/FOGLIA13/</w:t>
            </w:r>
            <w:bookmarkStart w:id="2" w:name="_GoBack"/>
            <w:bookmarkEnd w:id="2"/>
            <w:r w:rsidR="005D7533">
              <w:rPr>
                <w:color w:val="0000FF"/>
                <w:sz w:val="16"/>
              </w:rPr>
              <w:t>)</w:t>
            </w:r>
          </w:p>
        </w:tc>
      </w:tr>
    </w:tbl>
    <w:p w:rsidR="005D7533" w:rsidRDefault="005D7533"/>
    <w:sectPr w:rsidR="005D7533">
      <w:type w:val="continuous"/>
      <w:pgSz w:w="11910" w:h="16840"/>
      <w:pgMar w:top="52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139"/>
    <w:multiLevelType w:val="hybridMultilevel"/>
    <w:tmpl w:val="DB5ABDE0"/>
    <w:lvl w:ilvl="0" w:tplc="DAB0255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F27E8CA4">
      <w:numFmt w:val="bullet"/>
      <w:lvlText w:val="•"/>
      <w:lvlJc w:val="left"/>
      <w:pPr>
        <w:ind w:left="819" w:hanging="142"/>
      </w:pPr>
      <w:rPr>
        <w:rFonts w:hint="default"/>
        <w:lang w:val="it-IT" w:eastAsia="it-IT" w:bidi="it-IT"/>
      </w:rPr>
    </w:lvl>
    <w:lvl w:ilvl="2" w:tplc="DF08D138">
      <w:numFmt w:val="bullet"/>
      <w:lvlText w:val="•"/>
      <w:lvlJc w:val="left"/>
      <w:pPr>
        <w:ind w:left="1239" w:hanging="142"/>
      </w:pPr>
      <w:rPr>
        <w:rFonts w:hint="default"/>
        <w:lang w:val="it-IT" w:eastAsia="it-IT" w:bidi="it-IT"/>
      </w:rPr>
    </w:lvl>
    <w:lvl w:ilvl="3" w:tplc="11DEE95A">
      <w:numFmt w:val="bullet"/>
      <w:lvlText w:val="•"/>
      <w:lvlJc w:val="left"/>
      <w:pPr>
        <w:ind w:left="1659" w:hanging="142"/>
      </w:pPr>
      <w:rPr>
        <w:rFonts w:hint="default"/>
        <w:lang w:val="it-IT" w:eastAsia="it-IT" w:bidi="it-IT"/>
      </w:rPr>
    </w:lvl>
    <w:lvl w:ilvl="4" w:tplc="C730030A">
      <w:numFmt w:val="bullet"/>
      <w:lvlText w:val="•"/>
      <w:lvlJc w:val="left"/>
      <w:pPr>
        <w:ind w:left="2078" w:hanging="142"/>
      </w:pPr>
      <w:rPr>
        <w:rFonts w:hint="default"/>
        <w:lang w:val="it-IT" w:eastAsia="it-IT" w:bidi="it-IT"/>
      </w:rPr>
    </w:lvl>
    <w:lvl w:ilvl="5" w:tplc="0AF48054">
      <w:numFmt w:val="bullet"/>
      <w:lvlText w:val="•"/>
      <w:lvlJc w:val="left"/>
      <w:pPr>
        <w:ind w:left="2498" w:hanging="142"/>
      </w:pPr>
      <w:rPr>
        <w:rFonts w:hint="default"/>
        <w:lang w:val="it-IT" w:eastAsia="it-IT" w:bidi="it-IT"/>
      </w:rPr>
    </w:lvl>
    <w:lvl w:ilvl="6" w:tplc="7CFC6898">
      <w:numFmt w:val="bullet"/>
      <w:lvlText w:val="•"/>
      <w:lvlJc w:val="left"/>
      <w:pPr>
        <w:ind w:left="2918" w:hanging="142"/>
      </w:pPr>
      <w:rPr>
        <w:rFonts w:hint="default"/>
        <w:lang w:val="it-IT" w:eastAsia="it-IT" w:bidi="it-IT"/>
      </w:rPr>
    </w:lvl>
    <w:lvl w:ilvl="7" w:tplc="12A484FC">
      <w:numFmt w:val="bullet"/>
      <w:lvlText w:val="•"/>
      <w:lvlJc w:val="left"/>
      <w:pPr>
        <w:ind w:left="3337" w:hanging="142"/>
      </w:pPr>
      <w:rPr>
        <w:rFonts w:hint="default"/>
        <w:lang w:val="it-IT" w:eastAsia="it-IT" w:bidi="it-IT"/>
      </w:rPr>
    </w:lvl>
    <w:lvl w:ilvl="8" w:tplc="5D1EABF0">
      <w:numFmt w:val="bullet"/>
      <w:lvlText w:val="•"/>
      <w:lvlJc w:val="left"/>
      <w:pPr>
        <w:ind w:left="3757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4AB54796"/>
    <w:multiLevelType w:val="hybridMultilevel"/>
    <w:tmpl w:val="0D90ACF8"/>
    <w:lvl w:ilvl="0" w:tplc="3EC4345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60725548">
      <w:numFmt w:val="bullet"/>
      <w:lvlText w:val="•"/>
      <w:lvlJc w:val="left"/>
      <w:pPr>
        <w:ind w:left="1377" w:hanging="142"/>
      </w:pPr>
      <w:rPr>
        <w:rFonts w:hint="default"/>
        <w:lang w:val="it-IT" w:eastAsia="it-IT" w:bidi="it-IT"/>
      </w:rPr>
    </w:lvl>
    <w:lvl w:ilvl="2" w:tplc="44CE2530">
      <w:numFmt w:val="bullet"/>
      <w:lvlText w:val="•"/>
      <w:lvlJc w:val="left"/>
      <w:pPr>
        <w:ind w:left="2355" w:hanging="142"/>
      </w:pPr>
      <w:rPr>
        <w:rFonts w:hint="default"/>
        <w:lang w:val="it-IT" w:eastAsia="it-IT" w:bidi="it-IT"/>
      </w:rPr>
    </w:lvl>
    <w:lvl w:ilvl="3" w:tplc="01383C1A">
      <w:numFmt w:val="bullet"/>
      <w:lvlText w:val="•"/>
      <w:lvlJc w:val="left"/>
      <w:pPr>
        <w:ind w:left="3333" w:hanging="142"/>
      </w:pPr>
      <w:rPr>
        <w:rFonts w:hint="default"/>
        <w:lang w:val="it-IT" w:eastAsia="it-IT" w:bidi="it-IT"/>
      </w:rPr>
    </w:lvl>
    <w:lvl w:ilvl="4" w:tplc="4282F98E">
      <w:numFmt w:val="bullet"/>
      <w:lvlText w:val="•"/>
      <w:lvlJc w:val="left"/>
      <w:pPr>
        <w:ind w:left="4311" w:hanging="142"/>
      </w:pPr>
      <w:rPr>
        <w:rFonts w:hint="default"/>
        <w:lang w:val="it-IT" w:eastAsia="it-IT" w:bidi="it-IT"/>
      </w:rPr>
    </w:lvl>
    <w:lvl w:ilvl="5" w:tplc="53508900">
      <w:numFmt w:val="bullet"/>
      <w:lvlText w:val="•"/>
      <w:lvlJc w:val="left"/>
      <w:pPr>
        <w:ind w:left="5289" w:hanging="142"/>
      </w:pPr>
      <w:rPr>
        <w:rFonts w:hint="default"/>
        <w:lang w:val="it-IT" w:eastAsia="it-IT" w:bidi="it-IT"/>
      </w:rPr>
    </w:lvl>
    <w:lvl w:ilvl="6" w:tplc="657CD2A8">
      <w:numFmt w:val="bullet"/>
      <w:lvlText w:val="•"/>
      <w:lvlJc w:val="left"/>
      <w:pPr>
        <w:ind w:left="6267" w:hanging="142"/>
      </w:pPr>
      <w:rPr>
        <w:rFonts w:hint="default"/>
        <w:lang w:val="it-IT" w:eastAsia="it-IT" w:bidi="it-IT"/>
      </w:rPr>
    </w:lvl>
    <w:lvl w:ilvl="7" w:tplc="2CC034E8">
      <w:numFmt w:val="bullet"/>
      <w:lvlText w:val="•"/>
      <w:lvlJc w:val="left"/>
      <w:pPr>
        <w:ind w:left="7245" w:hanging="142"/>
      </w:pPr>
      <w:rPr>
        <w:rFonts w:hint="default"/>
        <w:lang w:val="it-IT" w:eastAsia="it-IT" w:bidi="it-IT"/>
      </w:rPr>
    </w:lvl>
    <w:lvl w:ilvl="8" w:tplc="1674B89E">
      <w:numFmt w:val="bullet"/>
      <w:lvlText w:val="•"/>
      <w:lvlJc w:val="left"/>
      <w:pPr>
        <w:ind w:left="8223" w:hanging="142"/>
      </w:pPr>
      <w:rPr>
        <w:rFonts w:hint="default"/>
        <w:lang w:val="it-IT" w:eastAsia="it-IT" w:bidi="it-IT"/>
      </w:rPr>
    </w:lvl>
  </w:abstractNum>
  <w:abstractNum w:abstractNumId="2" w15:restartNumberingAfterBreak="0">
    <w:nsid w:val="5C531DF5"/>
    <w:multiLevelType w:val="hybridMultilevel"/>
    <w:tmpl w:val="F606F324"/>
    <w:lvl w:ilvl="0" w:tplc="3A82D4DC">
      <w:numFmt w:val="bullet"/>
      <w:lvlText w:val=""/>
      <w:lvlJc w:val="left"/>
      <w:pPr>
        <w:ind w:left="392" w:hanging="143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9ACAB06C">
      <w:numFmt w:val="bullet"/>
      <w:lvlText w:val="•"/>
      <w:lvlJc w:val="left"/>
      <w:pPr>
        <w:ind w:left="585" w:hanging="143"/>
      </w:pPr>
      <w:rPr>
        <w:rFonts w:hint="default"/>
        <w:lang w:val="it-IT" w:eastAsia="it-IT" w:bidi="it-IT"/>
      </w:rPr>
    </w:lvl>
    <w:lvl w:ilvl="2" w:tplc="9936433A">
      <w:numFmt w:val="bullet"/>
      <w:lvlText w:val="•"/>
      <w:lvlJc w:val="left"/>
      <w:pPr>
        <w:ind w:left="771" w:hanging="143"/>
      </w:pPr>
      <w:rPr>
        <w:rFonts w:hint="default"/>
        <w:lang w:val="it-IT" w:eastAsia="it-IT" w:bidi="it-IT"/>
      </w:rPr>
    </w:lvl>
    <w:lvl w:ilvl="3" w:tplc="940E49B6">
      <w:numFmt w:val="bullet"/>
      <w:lvlText w:val="•"/>
      <w:lvlJc w:val="left"/>
      <w:pPr>
        <w:ind w:left="957" w:hanging="143"/>
      </w:pPr>
      <w:rPr>
        <w:rFonts w:hint="default"/>
        <w:lang w:val="it-IT" w:eastAsia="it-IT" w:bidi="it-IT"/>
      </w:rPr>
    </w:lvl>
    <w:lvl w:ilvl="4" w:tplc="1F820474">
      <w:numFmt w:val="bullet"/>
      <w:lvlText w:val="•"/>
      <w:lvlJc w:val="left"/>
      <w:pPr>
        <w:ind w:left="1143" w:hanging="143"/>
      </w:pPr>
      <w:rPr>
        <w:rFonts w:hint="default"/>
        <w:lang w:val="it-IT" w:eastAsia="it-IT" w:bidi="it-IT"/>
      </w:rPr>
    </w:lvl>
    <w:lvl w:ilvl="5" w:tplc="1AEAE57A">
      <w:numFmt w:val="bullet"/>
      <w:lvlText w:val="•"/>
      <w:lvlJc w:val="left"/>
      <w:pPr>
        <w:ind w:left="1329" w:hanging="143"/>
      </w:pPr>
      <w:rPr>
        <w:rFonts w:hint="default"/>
        <w:lang w:val="it-IT" w:eastAsia="it-IT" w:bidi="it-IT"/>
      </w:rPr>
    </w:lvl>
    <w:lvl w:ilvl="6" w:tplc="27E850B8">
      <w:numFmt w:val="bullet"/>
      <w:lvlText w:val="•"/>
      <w:lvlJc w:val="left"/>
      <w:pPr>
        <w:ind w:left="1515" w:hanging="143"/>
      </w:pPr>
      <w:rPr>
        <w:rFonts w:hint="default"/>
        <w:lang w:val="it-IT" w:eastAsia="it-IT" w:bidi="it-IT"/>
      </w:rPr>
    </w:lvl>
    <w:lvl w:ilvl="7" w:tplc="2C728BAA">
      <w:numFmt w:val="bullet"/>
      <w:lvlText w:val="•"/>
      <w:lvlJc w:val="left"/>
      <w:pPr>
        <w:ind w:left="1701" w:hanging="143"/>
      </w:pPr>
      <w:rPr>
        <w:rFonts w:hint="default"/>
        <w:lang w:val="it-IT" w:eastAsia="it-IT" w:bidi="it-IT"/>
      </w:rPr>
    </w:lvl>
    <w:lvl w:ilvl="8" w:tplc="A33828C2">
      <w:numFmt w:val="bullet"/>
      <w:lvlText w:val="•"/>
      <w:lvlJc w:val="left"/>
      <w:pPr>
        <w:ind w:left="1887" w:hanging="143"/>
      </w:pPr>
      <w:rPr>
        <w:rFonts w:hint="default"/>
        <w:lang w:val="it-IT" w:eastAsia="it-IT" w:bidi="it-IT"/>
      </w:rPr>
    </w:lvl>
  </w:abstractNum>
  <w:abstractNum w:abstractNumId="3" w15:restartNumberingAfterBreak="0">
    <w:nsid w:val="73C63909"/>
    <w:multiLevelType w:val="hybridMultilevel"/>
    <w:tmpl w:val="828CC080"/>
    <w:lvl w:ilvl="0" w:tplc="68840274">
      <w:numFmt w:val="bullet"/>
      <w:lvlText w:val=""/>
      <w:lvlJc w:val="left"/>
      <w:pPr>
        <w:ind w:left="392" w:hanging="143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1" w:tplc="99583232">
      <w:numFmt w:val="bullet"/>
      <w:lvlText w:val="•"/>
      <w:lvlJc w:val="left"/>
      <w:pPr>
        <w:ind w:left="1377" w:hanging="143"/>
      </w:pPr>
      <w:rPr>
        <w:rFonts w:hint="default"/>
        <w:lang w:val="it-IT" w:eastAsia="it-IT" w:bidi="it-IT"/>
      </w:rPr>
    </w:lvl>
    <w:lvl w:ilvl="2" w:tplc="0B7CD512">
      <w:numFmt w:val="bullet"/>
      <w:lvlText w:val="•"/>
      <w:lvlJc w:val="left"/>
      <w:pPr>
        <w:ind w:left="2355" w:hanging="143"/>
      </w:pPr>
      <w:rPr>
        <w:rFonts w:hint="default"/>
        <w:lang w:val="it-IT" w:eastAsia="it-IT" w:bidi="it-IT"/>
      </w:rPr>
    </w:lvl>
    <w:lvl w:ilvl="3" w:tplc="B76E9C6A">
      <w:numFmt w:val="bullet"/>
      <w:lvlText w:val="•"/>
      <w:lvlJc w:val="left"/>
      <w:pPr>
        <w:ind w:left="3333" w:hanging="143"/>
      </w:pPr>
      <w:rPr>
        <w:rFonts w:hint="default"/>
        <w:lang w:val="it-IT" w:eastAsia="it-IT" w:bidi="it-IT"/>
      </w:rPr>
    </w:lvl>
    <w:lvl w:ilvl="4" w:tplc="3D1CA796">
      <w:numFmt w:val="bullet"/>
      <w:lvlText w:val="•"/>
      <w:lvlJc w:val="left"/>
      <w:pPr>
        <w:ind w:left="4311" w:hanging="143"/>
      </w:pPr>
      <w:rPr>
        <w:rFonts w:hint="default"/>
        <w:lang w:val="it-IT" w:eastAsia="it-IT" w:bidi="it-IT"/>
      </w:rPr>
    </w:lvl>
    <w:lvl w:ilvl="5" w:tplc="A7168AD6">
      <w:numFmt w:val="bullet"/>
      <w:lvlText w:val="•"/>
      <w:lvlJc w:val="left"/>
      <w:pPr>
        <w:ind w:left="5289" w:hanging="143"/>
      </w:pPr>
      <w:rPr>
        <w:rFonts w:hint="default"/>
        <w:lang w:val="it-IT" w:eastAsia="it-IT" w:bidi="it-IT"/>
      </w:rPr>
    </w:lvl>
    <w:lvl w:ilvl="6" w:tplc="96D27026">
      <w:numFmt w:val="bullet"/>
      <w:lvlText w:val="•"/>
      <w:lvlJc w:val="left"/>
      <w:pPr>
        <w:ind w:left="6267" w:hanging="143"/>
      </w:pPr>
      <w:rPr>
        <w:rFonts w:hint="default"/>
        <w:lang w:val="it-IT" w:eastAsia="it-IT" w:bidi="it-IT"/>
      </w:rPr>
    </w:lvl>
    <w:lvl w:ilvl="7" w:tplc="CA6C2106">
      <w:numFmt w:val="bullet"/>
      <w:lvlText w:val="•"/>
      <w:lvlJc w:val="left"/>
      <w:pPr>
        <w:ind w:left="7245" w:hanging="143"/>
      </w:pPr>
      <w:rPr>
        <w:rFonts w:hint="default"/>
        <w:lang w:val="it-IT" w:eastAsia="it-IT" w:bidi="it-IT"/>
      </w:rPr>
    </w:lvl>
    <w:lvl w:ilvl="8" w:tplc="27706C62">
      <w:numFmt w:val="bullet"/>
      <w:lvlText w:val="•"/>
      <w:lvlJc w:val="left"/>
      <w:pPr>
        <w:ind w:left="8223" w:hanging="143"/>
      </w:pPr>
      <w:rPr>
        <w:rFonts w:hint="default"/>
        <w:lang w:val="it-IT" w:eastAsia="it-IT" w:bidi="it-IT"/>
      </w:rPr>
    </w:lvl>
  </w:abstractNum>
  <w:abstractNum w:abstractNumId="4" w15:restartNumberingAfterBreak="0">
    <w:nsid w:val="7A5E3AA9"/>
    <w:multiLevelType w:val="hybridMultilevel"/>
    <w:tmpl w:val="2EFC0776"/>
    <w:lvl w:ilvl="0" w:tplc="BDD6414E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9B06C5EA">
      <w:numFmt w:val="bullet"/>
      <w:lvlText w:val="•"/>
      <w:lvlJc w:val="left"/>
      <w:pPr>
        <w:ind w:left="1377" w:hanging="142"/>
      </w:pPr>
      <w:rPr>
        <w:rFonts w:hint="default"/>
        <w:lang w:val="it-IT" w:eastAsia="it-IT" w:bidi="it-IT"/>
      </w:rPr>
    </w:lvl>
    <w:lvl w:ilvl="2" w:tplc="2836F57E">
      <w:numFmt w:val="bullet"/>
      <w:lvlText w:val="•"/>
      <w:lvlJc w:val="left"/>
      <w:pPr>
        <w:ind w:left="2355" w:hanging="142"/>
      </w:pPr>
      <w:rPr>
        <w:rFonts w:hint="default"/>
        <w:lang w:val="it-IT" w:eastAsia="it-IT" w:bidi="it-IT"/>
      </w:rPr>
    </w:lvl>
    <w:lvl w:ilvl="3" w:tplc="7A26A758">
      <w:numFmt w:val="bullet"/>
      <w:lvlText w:val="•"/>
      <w:lvlJc w:val="left"/>
      <w:pPr>
        <w:ind w:left="3333" w:hanging="142"/>
      </w:pPr>
      <w:rPr>
        <w:rFonts w:hint="default"/>
        <w:lang w:val="it-IT" w:eastAsia="it-IT" w:bidi="it-IT"/>
      </w:rPr>
    </w:lvl>
    <w:lvl w:ilvl="4" w:tplc="86B69B4C">
      <w:numFmt w:val="bullet"/>
      <w:lvlText w:val="•"/>
      <w:lvlJc w:val="left"/>
      <w:pPr>
        <w:ind w:left="4311" w:hanging="142"/>
      </w:pPr>
      <w:rPr>
        <w:rFonts w:hint="default"/>
        <w:lang w:val="it-IT" w:eastAsia="it-IT" w:bidi="it-IT"/>
      </w:rPr>
    </w:lvl>
    <w:lvl w:ilvl="5" w:tplc="2E421C30">
      <w:numFmt w:val="bullet"/>
      <w:lvlText w:val="•"/>
      <w:lvlJc w:val="left"/>
      <w:pPr>
        <w:ind w:left="5289" w:hanging="142"/>
      </w:pPr>
      <w:rPr>
        <w:rFonts w:hint="default"/>
        <w:lang w:val="it-IT" w:eastAsia="it-IT" w:bidi="it-IT"/>
      </w:rPr>
    </w:lvl>
    <w:lvl w:ilvl="6" w:tplc="CA6AEC4C">
      <w:numFmt w:val="bullet"/>
      <w:lvlText w:val="•"/>
      <w:lvlJc w:val="left"/>
      <w:pPr>
        <w:ind w:left="6267" w:hanging="142"/>
      </w:pPr>
      <w:rPr>
        <w:rFonts w:hint="default"/>
        <w:lang w:val="it-IT" w:eastAsia="it-IT" w:bidi="it-IT"/>
      </w:rPr>
    </w:lvl>
    <w:lvl w:ilvl="7" w:tplc="A56E208A">
      <w:numFmt w:val="bullet"/>
      <w:lvlText w:val="•"/>
      <w:lvlJc w:val="left"/>
      <w:pPr>
        <w:ind w:left="7245" w:hanging="142"/>
      </w:pPr>
      <w:rPr>
        <w:rFonts w:hint="default"/>
        <w:lang w:val="it-IT" w:eastAsia="it-IT" w:bidi="it-IT"/>
      </w:rPr>
    </w:lvl>
    <w:lvl w:ilvl="8" w:tplc="C62C0292">
      <w:numFmt w:val="bullet"/>
      <w:lvlText w:val="•"/>
      <w:lvlJc w:val="left"/>
      <w:pPr>
        <w:ind w:left="8223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7C517095"/>
    <w:multiLevelType w:val="hybridMultilevel"/>
    <w:tmpl w:val="886C0F86"/>
    <w:lvl w:ilvl="0" w:tplc="CC3E1B9A">
      <w:numFmt w:val="bullet"/>
      <w:lvlText w:val=""/>
      <w:lvlJc w:val="left"/>
      <w:pPr>
        <w:ind w:left="348" w:hanging="24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4452704C">
      <w:numFmt w:val="bullet"/>
      <w:lvlText w:val="•"/>
      <w:lvlJc w:val="left"/>
      <w:pPr>
        <w:ind w:left="1086" w:hanging="240"/>
      </w:pPr>
      <w:rPr>
        <w:rFonts w:hint="default"/>
        <w:lang w:val="it-IT" w:eastAsia="it-IT" w:bidi="it-IT"/>
      </w:rPr>
    </w:lvl>
    <w:lvl w:ilvl="2" w:tplc="B09272C8">
      <w:numFmt w:val="bullet"/>
      <w:lvlText w:val="•"/>
      <w:lvlJc w:val="left"/>
      <w:pPr>
        <w:ind w:left="1832" w:hanging="240"/>
      </w:pPr>
      <w:rPr>
        <w:rFonts w:hint="default"/>
        <w:lang w:val="it-IT" w:eastAsia="it-IT" w:bidi="it-IT"/>
      </w:rPr>
    </w:lvl>
    <w:lvl w:ilvl="3" w:tplc="DAE2C1DA">
      <w:numFmt w:val="bullet"/>
      <w:lvlText w:val="•"/>
      <w:lvlJc w:val="left"/>
      <w:pPr>
        <w:ind w:left="2578" w:hanging="240"/>
      </w:pPr>
      <w:rPr>
        <w:rFonts w:hint="default"/>
        <w:lang w:val="it-IT" w:eastAsia="it-IT" w:bidi="it-IT"/>
      </w:rPr>
    </w:lvl>
    <w:lvl w:ilvl="4" w:tplc="41F49E4C">
      <w:numFmt w:val="bullet"/>
      <w:lvlText w:val="•"/>
      <w:lvlJc w:val="left"/>
      <w:pPr>
        <w:ind w:left="3324" w:hanging="240"/>
      </w:pPr>
      <w:rPr>
        <w:rFonts w:hint="default"/>
        <w:lang w:val="it-IT" w:eastAsia="it-IT" w:bidi="it-IT"/>
      </w:rPr>
    </w:lvl>
    <w:lvl w:ilvl="5" w:tplc="339649B2">
      <w:numFmt w:val="bullet"/>
      <w:lvlText w:val="•"/>
      <w:lvlJc w:val="left"/>
      <w:pPr>
        <w:ind w:left="4070" w:hanging="240"/>
      </w:pPr>
      <w:rPr>
        <w:rFonts w:hint="default"/>
        <w:lang w:val="it-IT" w:eastAsia="it-IT" w:bidi="it-IT"/>
      </w:rPr>
    </w:lvl>
    <w:lvl w:ilvl="6" w:tplc="A8B815A6">
      <w:numFmt w:val="bullet"/>
      <w:lvlText w:val="•"/>
      <w:lvlJc w:val="left"/>
      <w:pPr>
        <w:ind w:left="4816" w:hanging="240"/>
      </w:pPr>
      <w:rPr>
        <w:rFonts w:hint="default"/>
        <w:lang w:val="it-IT" w:eastAsia="it-IT" w:bidi="it-IT"/>
      </w:rPr>
    </w:lvl>
    <w:lvl w:ilvl="7" w:tplc="C250271C">
      <w:numFmt w:val="bullet"/>
      <w:lvlText w:val="•"/>
      <w:lvlJc w:val="left"/>
      <w:pPr>
        <w:ind w:left="5562" w:hanging="240"/>
      </w:pPr>
      <w:rPr>
        <w:rFonts w:hint="default"/>
        <w:lang w:val="it-IT" w:eastAsia="it-IT" w:bidi="it-IT"/>
      </w:rPr>
    </w:lvl>
    <w:lvl w:ilvl="8" w:tplc="E9F8501E">
      <w:numFmt w:val="bullet"/>
      <w:lvlText w:val="•"/>
      <w:lvlJc w:val="left"/>
      <w:pPr>
        <w:ind w:left="6308" w:hanging="24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C"/>
    <w:rsid w:val="003A5C6C"/>
    <w:rsid w:val="00471700"/>
    <w:rsid w:val="005D7533"/>
    <w:rsid w:val="00603A3E"/>
    <w:rsid w:val="006F5400"/>
    <w:rsid w:val="00924395"/>
    <w:rsid w:val="009C360D"/>
    <w:rsid w:val="00AB158C"/>
    <w:rsid w:val="00D15A8E"/>
    <w:rsid w:val="00DD1E06"/>
    <w:rsid w:val="00DF3059"/>
    <w:rsid w:val="00E575D5"/>
    <w:rsid w:val="00E84E6A"/>
    <w:rsid w:val="00E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575F"/>
  <w15:docId w15:val="{E96F1EEA-8F15-4568-A7D9-CDE2424E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9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00"/>
    <w:rPr>
      <w:rFonts w:ascii="Segoe UI" w:eastAsia="Tahoma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B158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B158C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069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12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D'Este Tiziana</cp:lastModifiedBy>
  <cp:revision>3</cp:revision>
  <cp:lastPrinted>2019-04-05T11:01:00Z</cp:lastPrinted>
  <dcterms:created xsi:type="dcterms:W3CDTF">2022-06-20T15:58:00Z</dcterms:created>
  <dcterms:modified xsi:type="dcterms:W3CDTF">2022-06-20T16:03:00Z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2019-04-04T00:00:00Z</vt:filetime>
  </property>
</Properties>
</file>