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4" w:rsidRDefault="000C0FC4" w:rsidP="000C0FC4">
      <w:pPr>
        <w:pStyle w:val="Testonormale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INDICAZIONI IN MERITO ALLA NORMATIVA COMUNITARIA, NAZIONALE E REGIONALE INERENTE I FONDI COMUNITARI E NAZIONALI PER LA PREPARAZIONE AI CONCORSI DI CATEGORIA D E C, PROFILO PROFESSIONALE AMMINISTRATIVO ECONOMICO</w:t>
      </w:r>
    </w:p>
    <w:p w:rsidR="000C0FC4" w:rsidRDefault="000C0FC4" w:rsidP="000C0FC4">
      <w:pPr>
        <w:pStyle w:val="Testonormale"/>
        <w:rPr>
          <w:b/>
          <w:bCs/>
          <w:color w:val="000000"/>
        </w:rPr>
      </w:pPr>
      <w:bookmarkStart w:id="0" w:name="_GoBack"/>
      <w:bookmarkEnd w:id="0"/>
    </w:p>
    <w:p w:rsidR="000C0FC4" w:rsidRDefault="000C0FC4" w:rsidP="000C0FC4">
      <w:pPr>
        <w:pStyle w:val="Testonormale"/>
        <w:rPr>
          <w:color w:val="000000"/>
        </w:rPr>
      </w:pPr>
      <w:r>
        <w:rPr>
          <w:b/>
          <w:bCs/>
          <w:color w:val="000000"/>
        </w:rPr>
        <w:t>livello comunitario: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rPr>
          <w:color w:val="000000"/>
        </w:rPr>
      </w:pPr>
      <w:r>
        <w:rPr>
          <w:color w:val="000000"/>
        </w:rPr>
        <w:t>Regolamento (UE) n. 1303/2013 del Parlamento europeo e del Consiglio del 17 dicembre 2013  (reg. generale), testo (in particolare, Parte II “DISPOSIZIONI COMUNI APPLICABILI AI FONDI SIE</w:t>
      </w:r>
      <w:r>
        <w:rPr>
          <w:color w:val="000000"/>
          <w:sz w:val="19"/>
          <w:szCs w:val="19"/>
        </w:rPr>
        <w:t xml:space="preserve">” (art. da 4 a 88) </w:t>
      </w:r>
      <w:r>
        <w:rPr>
          <w:color w:val="000000"/>
        </w:rPr>
        <w:t>e Allegati, con particolare riferimento all'Allegato XI “Condizionalità ex ante”</w:t>
      </w:r>
    </w:p>
    <w:p w:rsidR="000C0FC4" w:rsidRDefault="000C0FC4" w:rsidP="000C0FC4">
      <w:pPr>
        <w:pStyle w:val="Testonormale"/>
        <w:ind w:left="720"/>
        <w:rPr>
          <w:color w:val="000000"/>
        </w:rPr>
      </w:pPr>
      <w:r>
        <w:rPr>
          <w:color w:val="1F497D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 xml:space="preserve">2) Regolamento (UE) n. 215/2014 della Commissione del 7 marzo 2014 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b/>
          <w:bCs/>
          <w:color w:val="000000"/>
        </w:rPr>
        <w:t>elementi sugli Aiuti di stato</w:t>
      </w:r>
    </w:p>
    <w:p w:rsidR="000C0FC4" w:rsidRDefault="000C0FC4" w:rsidP="000C0FC4">
      <w:pPr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rPr>
          <w:color w:val="000000"/>
        </w:rPr>
      </w:pPr>
      <w:r>
        <w:rPr>
          <w:color w:val="000000"/>
        </w:rPr>
        <w:t>1) TFUE artt.107 - 109</w:t>
      </w:r>
    </w:p>
    <w:p w:rsidR="000C0FC4" w:rsidRDefault="000C0FC4" w:rsidP="000C0FC4">
      <w:pPr>
        <w:rPr>
          <w:color w:val="000000"/>
        </w:rPr>
      </w:pPr>
      <w:r>
        <w:rPr>
          <w:color w:val="000000"/>
        </w:rPr>
        <w:t xml:space="preserve">2) regolamento de </w:t>
      </w:r>
      <w:proofErr w:type="spellStart"/>
      <w:r>
        <w:rPr>
          <w:color w:val="000000"/>
        </w:rPr>
        <w:t>minimis</w:t>
      </w:r>
      <w:proofErr w:type="spellEnd"/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3) regolamento generale di esenzione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4) piano di modernizzazione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b/>
          <w:bCs/>
          <w:color w:val="000000"/>
        </w:rPr>
        <w:t>livello nazionale: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b/>
          <w:bCs/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1) Accordo di Partenariato 2014-2020 per l'impiego dei fondi strutturali e di investimento europei, adottato&lt;</w:t>
      </w:r>
      <w:hyperlink r:id="rId5" w:history="1">
        <w:r>
          <w:rPr>
            <w:rStyle w:val="Collegamentoipertestuale"/>
          </w:rPr>
          <w:t>http://europa.eu/rapid/press-release_IP-14-1215_it.htm</w:t>
        </w:r>
      </w:hyperlink>
      <w:r>
        <w:rPr>
          <w:color w:val="000000"/>
        </w:rPr>
        <w:t>&gt; il 29 ottobre dalla Commissione europea a chiusura del negoziato formale.</w:t>
      </w:r>
    </w:p>
    <w:p w:rsidR="000C0FC4" w:rsidRDefault="000C0FC4" w:rsidP="000C0FC4">
      <w:pPr>
        <w:pStyle w:val="Testonormale"/>
        <w:rPr>
          <w:color w:val="000000"/>
        </w:rPr>
      </w:pPr>
      <w:hyperlink r:id="rId6" w:history="1">
        <w:r>
          <w:rPr>
            <w:rStyle w:val="Collegamentoipertestuale"/>
          </w:rPr>
          <w:t>http://www.dps.gov.it/it/AccordoPartenariato/</w:t>
        </w:r>
      </w:hyperlink>
      <w:r>
        <w:rPr>
          <w:color w:val="000000"/>
        </w:rPr>
        <w:t>, con particolare riferimento alla Sezione 2 – Paragrafo 2.3, Tavola 11B (punti B.4 e B.5) e Tavola 13 (punti B.4 e B.5)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 xml:space="preserve">2) Legge 183/1987con particolare riferimento al Titolo I “Organi del coordinamento delle politiche comunitarie” (articoli da 5 a 8) 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 xml:space="preserve">Si dà per scontato che siano indicate le seguenti </w:t>
      </w:r>
      <w:r>
        <w:rPr>
          <w:b/>
          <w:bCs/>
          <w:color w:val="000000"/>
        </w:rPr>
        <w:t>fonti regionali</w:t>
      </w:r>
      <w:r>
        <w:rPr>
          <w:color w:val="000000"/>
        </w:rPr>
        <w:t>: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1)     Legge regionale n.7 del 20/3/2000 “Testo unico delle norme in materia di procedimento amministrativo e di diritto di accesso;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2)      Legge regionale n. 21/2007 e in particolare l'art. 19 inerente alla costituzione di un Fondo per interventi a finanziamento comunitario;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 xml:space="preserve">3)      Regolamento di organizzazione dell’Amministrazione regionale e degli enti regionali emanato con  </w:t>
      </w:r>
      <w:proofErr w:type="spellStart"/>
      <w:r>
        <w:rPr>
          <w:color w:val="000000"/>
        </w:rPr>
        <w:t>DPreg</w:t>
      </w:r>
      <w:proofErr w:type="spellEnd"/>
      <w:r>
        <w:rPr>
          <w:color w:val="000000"/>
        </w:rPr>
        <w:t>.  27 agosto 2004, 277/</w:t>
      </w:r>
      <w:proofErr w:type="spellStart"/>
      <w:r>
        <w:rPr>
          <w:color w:val="000000"/>
        </w:rPr>
        <w:t>Pres</w:t>
      </w:r>
      <w:proofErr w:type="spellEnd"/>
      <w:r>
        <w:rPr>
          <w:color w:val="000000"/>
        </w:rPr>
        <w:t xml:space="preserve">, come da ultimo modificato con </w:t>
      </w:r>
      <w:proofErr w:type="spellStart"/>
      <w:r>
        <w:rPr>
          <w:color w:val="000000"/>
        </w:rPr>
        <w:t>DPreg</w:t>
      </w:r>
      <w:proofErr w:type="spellEnd"/>
      <w:r>
        <w:rPr>
          <w:color w:val="000000"/>
        </w:rPr>
        <w:t>. 5 settembre 2013 n. 0161/</w:t>
      </w:r>
      <w:proofErr w:type="spellStart"/>
      <w:r>
        <w:rPr>
          <w:color w:val="000000"/>
        </w:rPr>
        <w:t>Pres</w:t>
      </w:r>
      <w:proofErr w:type="spellEnd"/>
      <w:r>
        <w:rPr>
          <w:color w:val="000000"/>
        </w:rPr>
        <w:t>.</w:t>
      </w:r>
    </w:p>
    <w:p w:rsidR="000C0FC4" w:rsidRDefault="000C0FC4" w:rsidP="000C0FC4">
      <w:pPr>
        <w:pStyle w:val="Testonormale"/>
        <w:rPr>
          <w:color w:val="000000"/>
        </w:rPr>
      </w:pPr>
      <w:r>
        <w:rPr>
          <w:color w:val="000000"/>
        </w:rPr>
        <w:t> </w:t>
      </w:r>
    </w:p>
    <w:p w:rsidR="000C0FC4" w:rsidRDefault="000C0FC4" w:rsidP="000C0FC4">
      <w:pPr>
        <w:pStyle w:val="Testonormale"/>
        <w:rPr>
          <w:color w:val="000000"/>
        </w:rPr>
      </w:pPr>
    </w:p>
    <w:p w:rsidR="001E078D" w:rsidRDefault="001E078D"/>
    <w:sectPr w:rsidR="001E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4"/>
    <w:rsid w:val="000C0FC4"/>
    <w:rsid w:val="001E078D"/>
    <w:rsid w:val="003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C4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0FC4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0FC4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0FC4"/>
    <w:rPr>
      <w:rFonts w:ascii="Calibri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C4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0FC4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0FC4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0FC4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ps.gov.it/it/AccordoPartenariato/" TargetMode="External"/><Relationship Id="rId5" Type="http://schemas.openxmlformats.org/officeDocument/2006/relationships/hyperlink" Target="http://europa.eu/rapid/press-release_IP-14-1215_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TLC</cp:lastModifiedBy>
  <cp:revision>2</cp:revision>
  <dcterms:created xsi:type="dcterms:W3CDTF">2015-05-05T09:39:00Z</dcterms:created>
  <dcterms:modified xsi:type="dcterms:W3CDTF">2015-05-05T09:46:00Z</dcterms:modified>
</cp:coreProperties>
</file>