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A8" w:rsidRDefault="004B2DA8" w:rsidP="005C09EC">
      <w:pPr>
        <w:spacing w:after="0"/>
        <w:rPr>
          <w:rFonts w:ascii="DecimaWE Rg" w:hAnsi="DecimaWE Rg"/>
          <w:b/>
          <w:sz w:val="24"/>
          <w:u w:val="single"/>
        </w:rPr>
      </w:pPr>
      <w:bookmarkStart w:id="0" w:name="_GoBack"/>
      <w:bookmarkEnd w:id="0"/>
    </w:p>
    <w:p w:rsidR="004B2DA8" w:rsidRDefault="004B2DA8" w:rsidP="005C09EC">
      <w:pPr>
        <w:spacing w:after="0"/>
        <w:jc w:val="center"/>
        <w:rPr>
          <w:rFonts w:ascii="DecimaWE Rg" w:hAnsi="DecimaWE Rg"/>
          <w:b/>
          <w:sz w:val="24"/>
          <w:u w:val="single"/>
        </w:rPr>
      </w:pPr>
    </w:p>
    <w:p w:rsidR="004B2DA8" w:rsidRDefault="004B2DA8" w:rsidP="005C09EC">
      <w:pPr>
        <w:spacing w:after="0"/>
        <w:jc w:val="center"/>
        <w:rPr>
          <w:rFonts w:ascii="DecimaWE Rg" w:hAnsi="DecimaWE Rg"/>
          <w:b/>
          <w:sz w:val="24"/>
          <w:u w:val="single"/>
        </w:rPr>
      </w:pPr>
    </w:p>
    <w:p w:rsidR="004B2DA8" w:rsidRDefault="004B2DA8" w:rsidP="005C09EC">
      <w:pPr>
        <w:spacing w:after="0"/>
        <w:jc w:val="center"/>
        <w:rPr>
          <w:rFonts w:ascii="DecimaWE Rg" w:hAnsi="DecimaWE Rg"/>
          <w:b/>
          <w:sz w:val="24"/>
          <w:u w:val="single"/>
        </w:rPr>
      </w:pPr>
    </w:p>
    <w:p w:rsidR="004B2DA8" w:rsidRDefault="004B2DA8" w:rsidP="005C09EC">
      <w:pPr>
        <w:spacing w:after="0"/>
        <w:jc w:val="center"/>
        <w:rPr>
          <w:rFonts w:ascii="DecimaWE Rg" w:hAnsi="DecimaWE Rg"/>
          <w:b/>
          <w:sz w:val="24"/>
          <w:u w:val="single"/>
        </w:rPr>
      </w:pPr>
    </w:p>
    <w:p w:rsidR="004B2DA8" w:rsidRDefault="004B2DA8" w:rsidP="005C09EC">
      <w:pPr>
        <w:spacing w:after="0"/>
        <w:jc w:val="center"/>
        <w:rPr>
          <w:rFonts w:ascii="DecimaWE Rg" w:hAnsi="DecimaWE Rg"/>
          <w:b/>
          <w:sz w:val="24"/>
          <w:u w:val="single"/>
        </w:rPr>
      </w:pPr>
    </w:p>
    <w:p w:rsidR="004B2DA8" w:rsidRDefault="004B2DA8" w:rsidP="005C09EC">
      <w:pPr>
        <w:spacing w:after="0"/>
        <w:jc w:val="center"/>
        <w:rPr>
          <w:rFonts w:ascii="DecimaWE Rg" w:hAnsi="DecimaWE Rg"/>
          <w:b/>
          <w:sz w:val="24"/>
          <w:u w:val="single"/>
        </w:rPr>
      </w:pPr>
    </w:p>
    <w:p w:rsidR="004B2DA8" w:rsidRDefault="004B2DA8" w:rsidP="005C09EC">
      <w:pPr>
        <w:spacing w:after="0"/>
        <w:jc w:val="center"/>
        <w:rPr>
          <w:rFonts w:ascii="DecimaWE Rg" w:hAnsi="DecimaWE Rg"/>
          <w:b/>
          <w:sz w:val="24"/>
          <w:u w:val="single"/>
        </w:rPr>
      </w:pPr>
    </w:p>
    <w:p w:rsidR="004B2DA8" w:rsidRDefault="004B2DA8" w:rsidP="005C09EC">
      <w:pPr>
        <w:spacing w:after="0"/>
        <w:jc w:val="center"/>
        <w:rPr>
          <w:rFonts w:ascii="DecimaWE Rg" w:hAnsi="DecimaWE Rg"/>
          <w:b/>
          <w:sz w:val="24"/>
          <w:u w:val="single"/>
        </w:rPr>
      </w:pPr>
    </w:p>
    <w:p w:rsidR="004B2DA8" w:rsidRPr="00965FF2" w:rsidRDefault="004B2DA8" w:rsidP="005C09EC">
      <w:pPr>
        <w:spacing w:after="0"/>
        <w:jc w:val="center"/>
        <w:rPr>
          <w:rFonts w:ascii="DecimaWE Rg" w:hAnsi="DecimaWE Rg"/>
          <w:b/>
          <w:sz w:val="28"/>
          <w:szCs w:val="28"/>
          <w:u w:val="single"/>
        </w:rPr>
      </w:pPr>
      <w:r w:rsidRPr="00965FF2">
        <w:rPr>
          <w:rFonts w:ascii="DecimaWE Rg" w:hAnsi="DecimaWE Rg"/>
          <w:b/>
          <w:sz w:val="28"/>
          <w:szCs w:val="28"/>
          <w:u w:val="single"/>
        </w:rPr>
        <w:t xml:space="preserve">MISURA ATTIVA </w:t>
      </w:r>
      <w:r>
        <w:rPr>
          <w:rFonts w:ascii="DecimaWE Rg" w:hAnsi="DecimaWE Rg"/>
          <w:b/>
          <w:sz w:val="28"/>
          <w:szCs w:val="28"/>
          <w:u w:val="single"/>
        </w:rPr>
        <w:t>DI</w:t>
      </w:r>
      <w:r w:rsidRPr="00965FF2">
        <w:rPr>
          <w:rFonts w:ascii="DecimaWE Rg" w:hAnsi="DecimaWE Rg"/>
          <w:b/>
          <w:sz w:val="28"/>
          <w:szCs w:val="28"/>
          <w:u w:val="single"/>
        </w:rPr>
        <w:t xml:space="preserve"> SOSTEGNO AL REDDITO</w:t>
      </w:r>
    </w:p>
    <w:p w:rsidR="004B2DA8" w:rsidRPr="00344A13" w:rsidRDefault="004B2DA8" w:rsidP="005C09EC">
      <w:pPr>
        <w:spacing w:after="0"/>
        <w:jc w:val="center"/>
        <w:rPr>
          <w:rFonts w:ascii="DecimaWE Rg" w:hAnsi="DecimaWE Rg"/>
          <w:b/>
          <w:sz w:val="24"/>
          <w:u w:val="single"/>
        </w:rPr>
      </w:pPr>
    </w:p>
    <w:p w:rsidR="004B2DA8" w:rsidRDefault="004B2DA8" w:rsidP="005C09EC">
      <w:pPr>
        <w:spacing w:after="0"/>
        <w:jc w:val="center"/>
        <w:rPr>
          <w:rFonts w:ascii="DecimaWE Rg" w:hAnsi="DecimaWE Rg"/>
          <w:sz w:val="24"/>
        </w:rPr>
      </w:pPr>
      <w:r>
        <w:rPr>
          <w:rFonts w:ascii="DecimaWE Rg" w:hAnsi="DecimaWE Rg"/>
          <w:sz w:val="24"/>
        </w:rPr>
        <w:t>R</w:t>
      </w:r>
      <w:r w:rsidRPr="00344A13">
        <w:rPr>
          <w:rFonts w:ascii="DecimaWE Rg" w:hAnsi="DecimaWE Rg"/>
          <w:sz w:val="24"/>
        </w:rPr>
        <w:t>elazione di monitoraggio</w:t>
      </w:r>
      <w:r>
        <w:rPr>
          <w:rFonts w:ascii="DecimaWE Rg" w:hAnsi="DecimaWE Rg"/>
          <w:sz w:val="24"/>
        </w:rPr>
        <w:t xml:space="preserve"> – D</w:t>
      </w:r>
      <w:r w:rsidR="008D2F7F">
        <w:rPr>
          <w:rFonts w:ascii="DecimaWE Rg" w:hAnsi="DecimaWE Rg"/>
          <w:sz w:val="24"/>
        </w:rPr>
        <w:t>omande</w:t>
      </w:r>
      <w:r w:rsidR="0027071D">
        <w:rPr>
          <w:rFonts w:ascii="DecimaWE Rg" w:hAnsi="DecimaWE Rg"/>
          <w:sz w:val="24"/>
        </w:rPr>
        <w:t xml:space="preserve"> presentate dal 01/01/2018 al 22/10</w:t>
      </w:r>
      <w:r w:rsidR="008D2F7F">
        <w:rPr>
          <w:rFonts w:ascii="DecimaWE Rg" w:hAnsi="DecimaWE Rg"/>
          <w:sz w:val="24"/>
        </w:rPr>
        <w:t>/2018</w:t>
      </w:r>
    </w:p>
    <w:p w:rsidR="004B2DA8" w:rsidRDefault="004B2DA8" w:rsidP="005C09EC">
      <w:pPr>
        <w:spacing w:after="0"/>
        <w:rPr>
          <w:rFonts w:ascii="DecimaWE Rg" w:hAnsi="DecimaWE Rg"/>
          <w:sz w:val="24"/>
        </w:rPr>
      </w:pPr>
    </w:p>
    <w:p w:rsidR="004B2DA8" w:rsidRDefault="004B2DA8" w:rsidP="005C09EC">
      <w:pPr>
        <w:spacing w:after="0"/>
        <w:rPr>
          <w:rFonts w:ascii="DecimaWE Rg" w:hAnsi="DecimaWE Rg"/>
          <w:sz w:val="24"/>
        </w:rPr>
      </w:pPr>
    </w:p>
    <w:p w:rsidR="004B2DA8" w:rsidRDefault="004B2DA8" w:rsidP="005C09EC">
      <w:pPr>
        <w:spacing w:after="0"/>
        <w:rPr>
          <w:rFonts w:ascii="DecimaWE Rg" w:hAnsi="DecimaWE Rg"/>
          <w:sz w:val="24"/>
        </w:rPr>
      </w:pPr>
    </w:p>
    <w:p w:rsidR="004B2DA8" w:rsidRDefault="004B2DA8" w:rsidP="005C09EC">
      <w:pPr>
        <w:spacing w:after="0"/>
        <w:rPr>
          <w:rFonts w:ascii="DecimaWE Rg" w:hAnsi="DecimaWE Rg"/>
          <w:sz w:val="24"/>
        </w:rPr>
      </w:pPr>
    </w:p>
    <w:p w:rsidR="004B2DA8" w:rsidRDefault="004B2DA8" w:rsidP="005C09EC">
      <w:pPr>
        <w:spacing w:after="0"/>
        <w:rPr>
          <w:rFonts w:ascii="DecimaWE Rg" w:hAnsi="DecimaWE Rg"/>
          <w:sz w:val="24"/>
        </w:rPr>
      </w:pPr>
    </w:p>
    <w:p w:rsidR="004B2DA8" w:rsidRDefault="004B2DA8" w:rsidP="005C09EC">
      <w:pPr>
        <w:spacing w:after="0"/>
        <w:rPr>
          <w:rFonts w:ascii="DecimaWE Rg" w:hAnsi="DecimaWE Rg"/>
          <w:sz w:val="24"/>
        </w:rPr>
      </w:pPr>
    </w:p>
    <w:p w:rsidR="004B2DA8" w:rsidRDefault="004B2DA8" w:rsidP="005C09EC">
      <w:pPr>
        <w:spacing w:after="0"/>
        <w:rPr>
          <w:rFonts w:ascii="DecimaWE Rg" w:hAnsi="DecimaWE Rg"/>
          <w:sz w:val="24"/>
        </w:rPr>
      </w:pPr>
    </w:p>
    <w:p w:rsidR="004B2DA8" w:rsidRDefault="004B2DA8" w:rsidP="005C09EC">
      <w:pPr>
        <w:spacing w:after="0"/>
        <w:rPr>
          <w:rFonts w:ascii="DecimaWE Rg" w:hAnsi="DecimaWE Rg"/>
          <w:sz w:val="24"/>
        </w:rPr>
      </w:pPr>
    </w:p>
    <w:p w:rsidR="004B2DA8" w:rsidRDefault="004B2DA8" w:rsidP="005C09EC">
      <w:pPr>
        <w:spacing w:after="0"/>
        <w:rPr>
          <w:rFonts w:ascii="DecimaWE Rg" w:hAnsi="DecimaWE Rg"/>
          <w:sz w:val="24"/>
        </w:rPr>
      </w:pPr>
    </w:p>
    <w:p w:rsidR="004B2DA8" w:rsidRDefault="004B2DA8" w:rsidP="005C09EC">
      <w:pPr>
        <w:spacing w:after="0"/>
        <w:rPr>
          <w:rFonts w:ascii="DecimaWE Rg" w:hAnsi="DecimaWE Rg"/>
          <w:sz w:val="24"/>
        </w:rPr>
      </w:pPr>
    </w:p>
    <w:p w:rsidR="004B2DA8" w:rsidRDefault="004B2DA8" w:rsidP="005C09EC">
      <w:pPr>
        <w:spacing w:after="0"/>
        <w:rPr>
          <w:rFonts w:ascii="DecimaWE Rg" w:hAnsi="DecimaWE Rg"/>
          <w:sz w:val="24"/>
        </w:rPr>
      </w:pPr>
    </w:p>
    <w:p w:rsidR="004B2DA8" w:rsidRDefault="004B2DA8" w:rsidP="005C09EC">
      <w:pPr>
        <w:spacing w:after="0"/>
        <w:rPr>
          <w:rFonts w:ascii="DecimaWE Rg" w:hAnsi="DecimaWE Rg"/>
          <w:sz w:val="24"/>
        </w:rPr>
      </w:pPr>
    </w:p>
    <w:p w:rsidR="004B2DA8" w:rsidRDefault="004B2DA8" w:rsidP="005C09EC">
      <w:pPr>
        <w:spacing w:after="0"/>
        <w:rPr>
          <w:rFonts w:ascii="DecimaWE Rg" w:hAnsi="DecimaWE Rg"/>
          <w:sz w:val="24"/>
        </w:rPr>
      </w:pPr>
    </w:p>
    <w:p w:rsidR="004B2DA8" w:rsidRDefault="004B2DA8" w:rsidP="005C09EC">
      <w:pPr>
        <w:spacing w:after="0"/>
        <w:rPr>
          <w:rFonts w:ascii="DecimaWE Rg" w:hAnsi="DecimaWE Rg"/>
          <w:sz w:val="24"/>
        </w:rPr>
      </w:pPr>
    </w:p>
    <w:p w:rsidR="004B2DA8" w:rsidRDefault="004B2DA8" w:rsidP="005C09EC">
      <w:pPr>
        <w:spacing w:after="0"/>
        <w:rPr>
          <w:rFonts w:ascii="DecimaWE Rg" w:hAnsi="DecimaWE Rg"/>
          <w:sz w:val="24"/>
        </w:rPr>
      </w:pPr>
    </w:p>
    <w:p w:rsidR="004B2DA8" w:rsidRDefault="004B2DA8" w:rsidP="005C09EC">
      <w:pPr>
        <w:spacing w:after="0"/>
        <w:rPr>
          <w:rFonts w:ascii="DecimaWE Rg" w:hAnsi="DecimaWE Rg"/>
          <w:sz w:val="24"/>
        </w:rPr>
      </w:pPr>
    </w:p>
    <w:p w:rsidR="004B2DA8" w:rsidRDefault="004B2DA8" w:rsidP="005C09EC">
      <w:pPr>
        <w:spacing w:after="0"/>
        <w:rPr>
          <w:rFonts w:ascii="DecimaWE Rg" w:hAnsi="DecimaWE Rg"/>
          <w:sz w:val="24"/>
        </w:rPr>
      </w:pPr>
    </w:p>
    <w:p w:rsidR="004B2DA8" w:rsidRDefault="004B2DA8" w:rsidP="005C09EC">
      <w:pPr>
        <w:spacing w:after="0"/>
        <w:rPr>
          <w:rFonts w:ascii="DecimaWE Rg" w:hAnsi="DecimaWE Rg"/>
          <w:sz w:val="24"/>
        </w:rPr>
      </w:pPr>
    </w:p>
    <w:p w:rsidR="004B2DA8" w:rsidRDefault="004B2DA8" w:rsidP="005C09EC">
      <w:pPr>
        <w:spacing w:after="0"/>
        <w:rPr>
          <w:rFonts w:ascii="DecimaWE Rg" w:hAnsi="DecimaWE Rg"/>
          <w:sz w:val="24"/>
        </w:rPr>
      </w:pPr>
    </w:p>
    <w:p w:rsidR="004B2DA8" w:rsidRDefault="004B2DA8" w:rsidP="005C09EC">
      <w:pPr>
        <w:spacing w:after="0"/>
        <w:rPr>
          <w:rFonts w:ascii="DecimaWE Rg" w:hAnsi="DecimaWE Rg"/>
          <w:sz w:val="24"/>
        </w:rPr>
      </w:pPr>
    </w:p>
    <w:p w:rsidR="004B2DA8" w:rsidRDefault="004B2DA8" w:rsidP="005C09EC">
      <w:pPr>
        <w:spacing w:after="0"/>
        <w:rPr>
          <w:rFonts w:ascii="DecimaWE Rg" w:hAnsi="DecimaWE Rg"/>
          <w:sz w:val="24"/>
        </w:rPr>
      </w:pPr>
    </w:p>
    <w:p w:rsidR="004B2DA8" w:rsidRDefault="004B2DA8" w:rsidP="005C09EC">
      <w:pPr>
        <w:spacing w:after="0"/>
        <w:rPr>
          <w:rFonts w:ascii="DecimaWE Rg" w:hAnsi="DecimaWE Rg"/>
          <w:sz w:val="24"/>
        </w:rPr>
      </w:pPr>
    </w:p>
    <w:p w:rsidR="004B2DA8" w:rsidRDefault="004B2DA8" w:rsidP="005C09EC">
      <w:pPr>
        <w:spacing w:after="0"/>
        <w:rPr>
          <w:rFonts w:ascii="DecimaWE Rg" w:hAnsi="DecimaWE Rg"/>
          <w:sz w:val="24"/>
        </w:rPr>
      </w:pPr>
    </w:p>
    <w:p w:rsidR="00DC1E55" w:rsidRDefault="008D2F7F" w:rsidP="00DC1E55">
      <w:pPr>
        <w:spacing w:after="0"/>
        <w:jc w:val="center"/>
        <w:rPr>
          <w:rFonts w:ascii="DecimaWE Rg" w:hAnsi="DecimaWE Rg"/>
          <w:sz w:val="24"/>
        </w:rPr>
      </w:pPr>
      <w:r>
        <w:rPr>
          <w:rFonts w:ascii="DecimaWE Rg" w:hAnsi="DecimaWE Rg"/>
          <w:sz w:val="24"/>
        </w:rPr>
        <w:t>Maggio 2019</w:t>
      </w:r>
    </w:p>
    <w:p w:rsidR="00271CD0" w:rsidRDefault="00271CD0" w:rsidP="00DC1E55">
      <w:pPr>
        <w:spacing w:after="0"/>
        <w:jc w:val="center"/>
        <w:rPr>
          <w:rFonts w:ascii="DecimaWE Rg" w:hAnsi="DecimaWE Rg"/>
          <w:sz w:val="24"/>
        </w:rPr>
      </w:pPr>
    </w:p>
    <w:p w:rsidR="00271CD0" w:rsidRDefault="00271CD0" w:rsidP="00DC1E55">
      <w:pPr>
        <w:spacing w:after="0"/>
        <w:jc w:val="center"/>
        <w:rPr>
          <w:rFonts w:ascii="DecimaWE Rg" w:hAnsi="DecimaWE Rg"/>
          <w:sz w:val="24"/>
        </w:rPr>
      </w:pPr>
    </w:p>
    <w:p w:rsidR="00271CD0" w:rsidRDefault="00271CD0" w:rsidP="00DC1E55">
      <w:pPr>
        <w:spacing w:after="0"/>
        <w:jc w:val="center"/>
        <w:rPr>
          <w:rFonts w:ascii="DecimaWE Rg" w:hAnsi="DecimaWE Rg"/>
          <w:sz w:val="24"/>
        </w:rPr>
      </w:pPr>
    </w:p>
    <w:p w:rsidR="00271CD0" w:rsidRDefault="00271CD0" w:rsidP="00DC1E55">
      <w:pPr>
        <w:spacing w:after="0"/>
        <w:jc w:val="center"/>
        <w:rPr>
          <w:rFonts w:ascii="DecimaWE Rg" w:hAnsi="DecimaWE Rg"/>
          <w:sz w:val="24"/>
        </w:rPr>
      </w:pPr>
    </w:p>
    <w:p w:rsidR="00271CD0" w:rsidRDefault="00271CD0" w:rsidP="00DC1E55">
      <w:pPr>
        <w:spacing w:after="0"/>
        <w:jc w:val="center"/>
        <w:rPr>
          <w:rFonts w:ascii="DecimaWE Rg" w:hAnsi="DecimaWE Rg"/>
          <w:sz w:val="24"/>
        </w:rPr>
      </w:pPr>
    </w:p>
    <w:p w:rsidR="00271CD0" w:rsidRDefault="00271CD0" w:rsidP="00DC1E55">
      <w:pPr>
        <w:spacing w:after="0"/>
        <w:jc w:val="center"/>
        <w:rPr>
          <w:rFonts w:ascii="DecimaWE Rg" w:hAnsi="DecimaWE Rg"/>
          <w:sz w:val="24"/>
        </w:rPr>
      </w:pPr>
    </w:p>
    <w:p w:rsidR="00271CD0" w:rsidRDefault="00271CD0" w:rsidP="00DC1E55">
      <w:pPr>
        <w:spacing w:after="0"/>
        <w:jc w:val="center"/>
        <w:rPr>
          <w:rFonts w:ascii="DecimaWE Rg" w:hAnsi="DecimaWE Rg"/>
          <w:sz w:val="24"/>
        </w:rPr>
      </w:pPr>
    </w:p>
    <w:p w:rsidR="00271CD0" w:rsidRDefault="00271CD0" w:rsidP="00DC1E55">
      <w:pPr>
        <w:spacing w:after="0"/>
        <w:jc w:val="center"/>
        <w:rPr>
          <w:rFonts w:ascii="DecimaWE Rg" w:hAnsi="DecimaWE Rg"/>
          <w:sz w:val="24"/>
        </w:rPr>
      </w:pPr>
      <w:r>
        <w:rPr>
          <w:rFonts w:ascii="DecimaWE Rg" w:hAnsi="DecimaWE Rg"/>
          <w:noProof/>
          <w:sz w:val="24"/>
          <w:lang w:eastAsia="it-IT"/>
        </w:rPr>
        <w:lastRenderedPageBreak/>
        <w:drawing>
          <wp:inline distT="0" distB="0" distL="0" distR="0">
            <wp:extent cx="6120130" cy="8661784"/>
            <wp:effectExtent l="0" t="0" r="0" b="6350"/>
            <wp:docPr id="1" name="Immagine 1" descr="\\dc03welfare\AW\Sociale\MIASR\07.Monitoraggio\02.Relazioni Monitoraggio\01.Annuale\2019\Infografica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03welfare\AW\Sociale\MIASR\07.Monitoraggio\02.Relazioni Monitoraggio\01.Annuale\2019\Infografica 201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CD0" w:rsidRPr="00DC1E55" w:rsidRDefault="00271CD0" w:rsidP="00DC1E55">
      <w:pPr>
        <w:spacing w:after="0"/>
        <w:jc w:val="center"/>
        <w:rPr>
          <w:rFonts w:ascii="DecimaWE Rg" w:hAnsi="DecimaWE Rg"/>
          <w:sz w:val="24"/>
        </w:rPr>
        <w:sectPr w:rsidR="00271CD0" w:rsidRPr="00DC1E55" w:rsidSect="00DC1E55">
          <w:footerReference w:type="default" r:id="rId10"/>
          <w:pgSz w:w="11906" w:h="16838"/>
          <w:pgMar w:top="1417" w:right="1134" w:bottom="1134" w:left="1134" w:header="708" w:footer="708" w:gutter="0"/>
          <w:pgNumType w:start="0"/>
          <w:cols w:space="708"/>
          <w:titlePg/>
          <w:docGrid w:linePitch="360"/>
        </w:sectPr>
      </w:pPr>
    </w:p>
    <w:p w:rsidR="0094643A" w:rsidRDefault="0094643A" w:rsidP="005C09EC">
      <w:pPr>
        <w:spacing w:after="0"/>
        <w:ind w:left="709"/>
        <w:jc w:val="both"/>
        <w:rPr>
          <w:rFonts w:ascii="DecimaWE Rg" w:hAnsi="DecimaWE Rg"/>
          <w:b/>
        </w:rPr>
      </w:pPr>
      <w:r>
        <w:rPr>
          <w:rFonts w:ascii="DecimaWE Rg" w:hAnsi="DecimaWE Rg"/>
          <w:b/>
        </w:rPr>
        <w:lastRenderedPageBreak/>
        <w:t>INDICE</w:t>
      </w:r>
    </w:p>
    <w:p w:rsidR="0094643A" w:rsidRDefault="0094643A" w:rsidP="005C09EC">
      <w:pPr>
        <w:spacing w:after="0"/>
        <w:ind w:left="709"/>
        <w:jc w:val="both"/>
        <w:rPr>
          <w:rFonts w:ascii="DecimaWE Rg" w:hAnsi="DecimaWE Rg"/>
          <w:b/>
        </w:rPr>
      </w:pPr>
    </w:p>
    <w:p w:rsidR="0094643A" w:rsidRDefault="0094643A" w:rsidP="005C09EC">
      <w:pPr>
        <w:spacing w:after="0"/>
        <w:ind w:left="709"/>
        <w:jc w:val="both"/>
        <w:rPr>
          <w:rFonts w:ascii="DecimaWE Rg" w:hAnsi="DecimaWE Rg"/>
          <w:b/>
        </w:rPr>
      </w:pPr>
    </w:p>
    <w:p w:rsidR="00534D68" w:rsidRDefault="0094643A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r>
        <w:rPr>
          <w:rFonts w:ascii="DecimaWE Rg" w:hAnsi="DecimaWE Rg"/>
          <w:b/>
        </w:rPr>
        <w:fldChar w:fldCharType="begin"/>
      </w:r>
      <w:r>
        <w:rPr>
          <w:rFonts w:ascii="DecimaWE Rg" w:hAnsi="DecimaWE Rg"/>
          <w:b/>
        </w:rPr>
        <w:instrText xml:space="preserve"> TOC \o "1-3" \h \z \u </w:instrText>
      </w:r>
      <w:r>
        <w:rPr>
          <w:rFonts w:ascii="DecimaWE Rg" w:hAnsi="DecimaWE Rg"/>
          <w:b/>
        </w:rPr>
        <w:fldChar w:fldCharType="separate"/>
      </w:r>
      <w:hyperlink w:anchor="_Toc9600345" w:history="1">
        <w:r w:rsidR="00534D68" w:rsidRPr="005A482E">
          <w:rPr>
            <w:rStyle w:val="Collegamentoipertestuale"/>
            <w:rFonts w:ascii="DecimaWE Rg" w:hAnsi="DecimaWE Rg"/>
            <w:noProof/>
          </w:rPr>
          <w:t>Premessa</w:t>
        </w:r>
        <w:r w:rsidR="00534D68">
          <w:rPr>
            <w:noProof/>
            <w:webHidden/>
          </w:rPr>
          <w:tab/>
        </w:r>
        <w:r w:rsidR="00534D68">
          <w:rPr>
            <w:noProof/>
            <w:webHidden/>
          </w:rPr>
          <w:fldChar w:fldCharType="begin"/>
        </w:r>
        <w:r w:rsidR="00534D68">
          <w:rPr>
            <w:noProof/>
            <w:webHidden/>
          </w:rPr>
          <w:instrText xml:space="preserve"> PAGEREF _Toc9600345 \h </w:instrText>
        </w:r>
        <w:r w:rsidR="00534D68">
          <w:rPr>
            <w:noProof/>
            <w:webHidden/>
          </w:rPr>
        </w:r>
        <w:r w:rsidR="00534D68">
          <w:rPr>
            <w:noProof/>
            <w:webHidden/>
          </w:rPr>
          <w:fldChar w:fldCharType="separate"/>
        </w:r>
        <w:r w:rsidR="00214B0F">
          <w:rPr>
            <w:noProof/>
            <w:webHidden/>
          </w:rPr>
          <w:t>1</w:t>
        </w:r>
        <w:r w:rsidR="00534D68">
          <w:rPr>
            <w:noProof/>
            <w:webHidden/>
          </w:rPr>
          <w:fldChar w:fldCharType="end"/>
        </w:r>
      </w:hyperlink>
    </w:p>
    <w:p w:rsidR="00534D68" w:rsidRDefault="006D7156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hyperlink w:anchor="_Toc9600346" w:history="1">
        <w:r w:rsidR="00534D68" w:rsidRPr="005A482E">
          <w:rPr>
            <w:rStyle w:val="Collegamentoipertestuale"/>
            <w:rFonts w:ascii="DecimaWE Rg" w:hAnsi="DecimaWE Rg"/>
            <w:noProof/>
          </w:rPr>
          <w:t xml:space="preserve">1. </w:t>
        </w:r>
        <w:r w:rsidR="00534D68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534D68" w:rsidRPr="005A482E">
          <w:rPr>
            <w:rStyle w:val="Collegamentoipertestuale"/>
            <w:rFonts w:ascii="DecimaWE Rg" w:hAnsi="DecimaWE Rg"/>
            <w:noProof/>
          </w:rPr>
          <w:t>Le domande accolte e il loro andamento.</w:t>
        </w:r>
        <w:r w:rsidR="00534D68">
          <w:rPr>
            <w:noProof/>
            <w:webHidden/>
          </w:rPr>
          <w:tab/>
        </w:r>
        <w:r w:rsidR="00534D68">
          <w:rPr>
            <w:noProof/>
            <w:webHidden/>
          </w:rPr>
          <w:fldChar w:fldCharType="begin"/>
        </w:r>
        <w:r w:rsidR="00534D68">
          <w:rPr>
            <w:noProof/>
            <w:webHidden/>
          </w:rPr>
          <w:instrText xml:space="preserve"> PAGEREF _Toc9600346 \h </w:instrText>
        </w:r>
        <w:r w:rsidR="00534D68">
          <w:rPr>
            <w:noProof/>
            <w:webHidden/>
          </w:rPr>
        </w:r>
        <w:r w:rsidR="00534D68">
          <w:rPr>
            <w:noProof/>
            <w:webHidden/>
          </w:rPr>
          <w:fldChar w:fldCharType="separate"/>
        </w:r>
        <w:r w:rsidR="00214B0F">
          <w:rPr>
            <w:noProof/>
            <w:webHidden/>
          </w:rPr>
          <w:t>2</w:t>
        </w:r>
        <w:r w:rsidR="00534D68">
          <w:rPr>
            <w:noProof/>
            <w:webHidden/>
          </w:rPr>
          <w:fldChar w:fldCharType="end"/>
        </w:r>
      </w:hyperlink>
    </w:p>
    <w:p w:rsidR="00534D68" w:rsidRDefault="006D7156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hyperlink w:anchor="_Toc9600347" w:history="1">
        <w:r w:rsidR="00534D68" w:rsidRPr="005A482E">
          <w:rPr>
            <w:rStyle w:val="Collegamentoipertestuale"/>
            <w:rFonts w:ascii="DecimaWE Rg" w:hAnsi="DecimaWE Rg"/>
            <w:noProof/>
          </w:rPr>
          <w:t xml:space="preserve">2. </w:t>
        </w:r>
        <w:r w:rsidR="00534D68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534D68" w:rsidRPr="005A482E">
          <w:rPr>
            <w:rStyle w:val="Collegamentoipertestuale"/>
            <w:rFonts w:ascii="DecimaWE Rg" w:hAnsi="DecimaWE Rg"/>
            <w:noProof/>
          </w:rPr>
          <w:t>Nuclei beneficiari, distribuzione territoriale e spesa.</w:t>
        </w:r>
        <w:r w:rsidR="00534D68">
          <w:rPr>
            <w:noProof/>
            <w:webHidden/>
          </w:rPr>
          <w:tab/>
        </w:r>
        <w:r w:rsidR="00534D68">
          <w:rPr>
            <w:noProof/>
            <w:webHidden/>
          </w:rPr>
          <w:fldChar w:fldCharType="begin"/>
        </w:r>
        <w:r w:rsidR="00534D68">
          <w:rPr>
            <w:noProof/>
            <w:webHidden/>
          </w:rPr>
          <w:instrText xml:space="preserve"> PAGEREF _Toc9600347 \h </w:instrText>
        </w:r>
        <w:r w:rsidR="00534D68">
          <w:rPr>
            <w:noProof/>
            <w:webHidden/>
          </w:rPr>
        </w:r>
        <w:r w:rsidR="00534D68">
          <w:rPr>
            <w:noProof/>
            <w:webHidden/>
          </w:rPr>
          <w:fldChar w:fldCharType="separate"/>
        </w:r>
        <w:r w:rsidR="00214B0F">
          <w:rPr>
            <w:noProof/>
            <w:webHidden/>
          </w:rPr>
          <w:t>4</w:t>
        </w:r>
        <w:r w:rsidR="00534D68">
          <w:rPr>
            <w:noProof/>
            <w:webHidden/>
          </w:rPr>
          <w:fldChar w:fldCharType="end"/>
        </w:r>
      </w:hyperlink>
    </w:p>
    <w:p w:rsidR="00534D68" w:rsidRDefault="006D7156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hyperlink w:anchor="_Toc9600348" w:history="1">
        <w:r w:rsidR="00534D68" w:rsidRPr="005A482E">
          <w:rPr>
            <w:rStyle w:val="Collegamentoipertestuale"/>
            <w:rFonts w:ascii="DecimaWE Rg" w:hAnsi="DecimaWE Rg"/>
            <w:noProof/>
          </w:rPr>
          <w:t xml:space="preserve">3. </w:t>
        </w:r>
        <w:r w:rsidR="00534D68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534D68" w:rsidRPr="005A482E">
          <w:rPr>
            <w:rStyle w:val="Collegamentoipertestuale"/>
            <w:rFonts w:ascii="DecimaWE Rg" w:hAnsi="DecimaWE Rg"/>
            <w:noProof/>
          </w:rPr>
          <w:t>Nuclei beneficiari delle domande presentate nel 2018 e loro componenti: profilo socio anagrafico.</w:t>
        </w:r>
        <w:r w:rsidR="00534D68">
          <w:rPr>
            <w:noProof/>
            <w:webHidden/>
          </w:rPr>
          <w:tab/>
        </w:r>
        <w:r w:rsidR="00534D68">
          <w:rPr>
            <w:noProof/>
            <w:webHidden/>
          </w:rPr>
          <w:fldChar w:fldCharType="begin"/>
        </w:r>
        <w:r w:rsidR="00534D68">
          <w:rPr>
            <w:noProof/>
            <w:webHidden/>
          </w:rPr>
          <w:instrText xml:space="preserve"> PAGEREF _Toc9600348 \h </w:instrText>
        </w:r>
        <w:r w:rsidR="00534D68">
          <w:rPr>
            <w:noProof/>
            <w:webHidden/>
          </w:rPr>
        </w:r>
        <w:r w:rsidR="00534D68">
          <w:rPr>
            <w:noProof/>
            <w:webHidden/>
          </w:rPr>
          <w:fldChar w:fldCharType="separate"/>
        </w:r>
        <w:r w:rsidR="00214B0F">
          <w:rPr>
            <w:noProof/>
            <w:webHidden/>
          </w:rPr>
          <w:t>6</w:t>
        </w:r>
        <w:r w:rsidR="00534D68">
          <w:rPr>
            <w:noProof/>
            <w:webHidden/>
          </w:rPr>
          <w:fldChar w:fldCharType="end"/>
        </w:r>
      </w:hyperlink>
    </w:p>
    <w:p w:rsidR="00534D68" w:rsidRDefault="006D7156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hyperlink w:anchor="_Toc9600349" w:history="1">
        <w:r w:rsidR="00534D68" w:rsidRPr="005A482E">
          <w:rPr>
            <w:rStyle w:val="Collegamentoipertestuale"/>
            <w:rFonts w:ascii="DecimaWE Rg" w:hAnsi="DecimaWE Rg"/>
            <w:noProof/>
          </w:rPr>
          <w:t xml:space="preserve">4. </w:t>
        </w:r>
        <w:r w:rsidR="00534D68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534D68" w:rsidRPr="005A482E">
          <w:rPr>
            <w:rStyle w:val="Collegamentoipertestuale"/>
            <w:rFonts w:ascii="DecimaWE Rg" w:hAnsi="DecimaWE Rg"/>
            <w:noProof/>
          </w:rPr>
          <w:t>La presa in carico e la definizione dei patti di inclusione</w:t>
        </w:r>
        <w:r w:rsidR="00534D68">
          <w:rPr>
            <w:noProof/>
            <w:webHidden/>
          </w:rPr>
          <w:tab/>
        </w:r>
        <w:r w:rsidR="00534D68">
          <w:rPr>
            <w:noProof/>
            <w:webHidden/>
          </w:rPr>
          <w:fldChar w:fldCharType="begin"/>
        </w:r>
        <w:r w:rsidR="00534D68">
          <w:rPr>
            <w:noProof/>
            <w:webHidden/>
          </w:rPr>
          <w:instrText xml:space="preserve"> PAGEREF _Toc9600349 \h </w:instrText>
        </w:r>
        <w:r w:rsidR="00534D68">
          <w:rPr>
            <w:noProof/>
            <w:webHidden/>
          </w:rPr>
        </w:r>
        <w:r w:rsidR="00534D68">
          <w:rPr>
            <w:noProof/>
            <w:webHidden/>
          </w:rPr>
          <w:fldChar w:fldCharType="separate"/>
        </w:r>
        <w:r w:rsidR="00214B0F">
          <w:rPr>
            <w:noProof/>
            <w:webHidden/>
          </w:rPr>
          <w:t>9</w:t>
        </w:r>
        <w:r w:rsidR="00534D68">
          <w:rPr>
            <w:noProof/>
            <w:webHidden/>
          </w:rPr>
          <w:fldChar w:fldCharType="end"/>
        </w:r>
      </w:hyperlink>
    </w:p>
    <w:p w:rsidR="00534D68" w:rsidRDefault="006D7156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hyperlink w:anchor="_Toc9600350" w:history="1">
        <w:r w:rsidR="00534D68" w:rsidRPr="005A482E">
          <w:rPr>
            <w:rStyle w:val="Collegamentoipertestuale"/>
            <w:rFonts w:ascii="DecimaWE Rg" w:hAnsi="DecimaWE Rg"/>
            <w:noProof/>
          </w:rPr>
          <w:t>ALLEGATO</w:t>
        </w:r>
        <w:r w:rsidR="00534D68">
          <w:rPr>
            <w:noProof/>
            <w:webHidden/>
          </w:rPr>
          <w:tab/>
        </w:r>
        <w:r w:rsidR="00534D68">
          <w:rPr>
            <w:noProof/>
            <w:webHidden/>
          </w:rPr>
          <w:fldChar w:fldCharType="begin"/>
        </w:r>
        <w:r w:rsidR="00534D68">
          <w:rPr>
            <w:noProof/>
            <w:webHidden/>
          </w:rPr>
          <w:instrText xml:space="preserve"> PAGEREF _Toc9600350 \h </w:instrText>
        </w:r>
        <w:r w:rsidR="00534D68">
          <w:rPr>
            <w:noProof/>
            <w:webHidden/>
          </w:rPr>
        </w:r>
        <w:r w:rsidR="00534D68">
          <w:rPr>
            <w:noProof/>
            <w:webHidden/>
          </w:rPr>
          <w:fldChar w:fldCharType="separate"/>
        </w:r>
        <w:r w:rsidR="00214B0F">
          <w:rPr>
            <w:noProof/>
            <w:webHidden/>
          </w:rPr>
          <w:t>13</w:t>
        </w:r>
        <w:r w:rsidR="00534D68">
          <w:rPr>
            <w:noProof/>
            <w:webHidden/>
          </w:rPr>
          <w:fldChar w:fldCharType="end"/>
        </w:r>
      </w:hyperlink>
    </w:p>
    <w:p w:rsidR="0094643A" w:rsidRDefault="0094643A" w:rsidP="0094643A">
      <w:pPr>
        <w:spacing w:after="0"/>
        <w:ind w:left="709"/>
        <w:jc w:val="both"/>
        <w:rPr>
          <w:rFonts w:ascii="DecimaWE Rg" w:hAnsi="DecimaWE Rg"/>
          <w:b/>
        </w:rPr>
      </w:pPr>
      <w:r>
        <w:rPr>
          <w:rFonts w:ascii="DecimaWE Rg" w:hAnsi="DecimaWE Rg"/>
          <w:b/>
        </w:rPr>
        <w:fldChar w:fldCharType="end"/>
      </w:r>
    </w:p>
    <w:p w:rsidR="0094643A" w:rsidRDefault="0094643A" w:rsidP="005C09EC">
      <w:pPr>
        <w:spacing w:after="0"/>
        <w:ind w:left="709"/>
        <w:jc w:val="both"/>
        <w:rPr>
          <w:rFonts w:ascii="DecimaWE Rg" w:hAnsi="DecimaWE Rg"/>
          <w:b/>
        </w:rPr>
      </w:pPr>
    </w:p>
    <w:p w:rsidR="0094643A" w:rsidRDefault="0094643A" w:rsidP="005C09EC">
      <w:pPr>
        <w:spacing w:after="0"/>
        <w:ind w:left="709"/>
        <w:jc w:val="both"/>
        <w:rPr>
          <w:rFonts w:ascii="DecimaWE Rg" w:hAnsi="DecimaWE Rg"/>
          <w:b/>
        </w:rPr>
      </w:pPr>
    </w:p>
    <w:p w:rsidR="0094643A" w:rsidRDefault="0094643A" w:rsidP="005C09EC">
      <w:pPr>
        <w:spacing w:after="0"/>
        <w:ind w:left="709"/>
        <w:jc w:val="both"/>
        <w:rPr>
          <w:rFonts w:ascii="DecimaWE Rg" w:hAnsi="DecimaWE Rg"/>
          <w:b/>
        </w:rPr>
      </w:pPr>
    </w:p>
    <w:p w:rsidR="0094643A" w:rsidRDefault="0094643A" w:rsidP="005C09EC">
      <w:pPr>
        <w:spacing w:after="0"/>
        <w:ind w:left="709"/>
        <w:jc w:val="both"/>
        <w:rPr>
          <w:rFonts w:ascii="DecimaWE Rg" w:hAnsi="DecimaWE Rg"/>
          <w:b/>
        </w:rPr>
      </w:pPr>
    </w:p>
    <w:p w:rsidR="0094643A" w:rsidRDefault="0094643A" w:rsidP="005C09EC">
      <w:pPr>
        <w:spacing w:after="0"/>
        <w:ind w:left="709"/>
        <w:jc w:val="both"/>
        <w:rPr>
          <w:rFonts w:ascii="DecimaWE Rg" w:hAnsi="DecimaWE Rg"/>
          <w:b/>
        </w:rPr>
      </w:pPr>
    </w:p>
    <w:p w:rsidR="0094643A" w:rsidRDefault="0094643A" w:rsidP="005C09EC">
      <w:pPr>
        <w:spacing w:after="0"/>
        <w:ind w:left="709"/>
        <w:jc w:val="both"/>
        <w:rPr>
          <w:rFonts w:ascii="DecimaWE Rg" w:hAnsi="DecimaWE Rg"/>
          <w:b/>
        </w:rPr>
      </w:pPr>
    </w:p>
    <w:p w:rsidR="0094643A" w:rsidRDefault="0094643A" w:rsidP="005C09EC">
      <w:pPr>
        <w:spacing w:after="0"/>
        <w:ind w:left="709"/>
        <w:jc w:val="both"/>
        <w:rPr>
          <w:rFonts w:ascii="DecimaWE Rg" w:hAnsi="DecimaWE Rg"/>
          <w:b/>
        </w:rPr>
      </w:pPr>
    </w:p>
    <w:p w:rsidR="0094643A" w:rsidRDefault="0094643A" w:rsidP="005C09EC">
      <w:pPr>
        <w:spacing w:after="0"/>
        <w:ind w:left="709"/>
        <w:jc w:val="both"/>
        <w:rPr>
          <w:rFonts w:ascii="DecimaWE Rg" w:hAnsi="DecimaWE Rg"/>
          <w:b/>
        </w:rPr>
      </w:pPr>
    </w:p>
    <w:p w:rsidR="0094643A" w:rsidRDefault="0094643A" w:rsidP="005C09EC">
      <w:pPr>
        <w:spacing w:after="0"/>
        <w:ind w:left="709"/>
        <w:jc w:val="both"/>
        <w:rPr>
          <w:rFonts w:ascii="DecimaWE Rg" w:hAnsi="DecimaWE Rg"/>
          <w:b/>
        </w:rPr>
      </w:pPr>
    </w:p>
    <w:p w:rsidR="0094643A" w:rsidRDefault="0094643A" w:rsidP="005C09EC">
      <w:pPr>
        <w:spacing w:after="0"/>
        <w:ind w:left="709"/>
        <w:jc w:val="both"/>
        <w:rPr>
          <w:rFonts w:ascii="DecimaWE Rg" w:hAnsi="DecimaWE Rg"/>
          <w:b/>
        </w:rPr>
      </w:pPr>
    </w:p>
    <w:p w:rsidR="0094643A" w:rsidRDefault="0094643A" w:rsidP="005C09EC">
      <w:pPr>
        <w:spacing w:after="0"/>
        <w:ind w:left="709"/>
        <w:jc w:val="both"/>
        <w:rPr>
          <w:rFonts w:ascii="DecimaWE Rg" w:hAnsi="DecimaWE Rg"/>
          <w:b/>
        </w:rPr>
      </w:pPr>
    </w:p>
    <w:p w:rsidR="0094643A" w:rsidRDefault="0094643A" w:rsidP="005C09EC">
      <w:pPr>
        <w:spacing w:after="0"/>
        <w:ind w:left="709"/>
        <w:jc w:val="both"/>
        <w:rPr>
          <w:rFonts w:ascii="DecimaWE Rg" w:hAnsi="DecimaWE Rg"/>
          <w:b/>
        </w:rPr>
      </w:pPr>
    </w:p>
    <w:p w:rsidR="0094643A" w:rsidRDefault="0094643A" w:rsidP="005C09EC">
      <w:pPr>
        <w:spacing w:after="0"/>
        <w:ind w:left="709"/>
        <w:jc w:val="both"/>
        <w:rPr>
          <w:rFonts w:ascii="DecimaWE Rg" w:hAnsi="DecimaWE Rg"/>
          <w:b/>
        </w:rPr>
      </w:pPr>
    </w:p>
    <w:p w:rsidR="0094643A" w:rsidRDefault="0094643A" w:rsidP="005C09EC">
      <w:pPr>
        <w:spacing w:after="0"/>
        <w:ind w:left="709"/>
        <w:jc w:val="both"/>
        <w:rPr>
          <w:rFonts w:ascii="DecimaWE Rg" w:hAnsi="DecimaWE Rg"/>
          <w:b/>
        </w:rPr>
      </w:pPr>
    </w:p>
    <w:p w:rsidR="0094643A" w:rsidRDefault="0094643A" w:rsidP="005C09EC">
      <w:pPr>
        <w:spacing w:after="0"/>
        <w:ind w:left="709"/>
        <w:jc w:val="both"/>
        <w:rPr>
          <w:rFonts w:ascii="DecimaWE Rg" w:hAnsi="DecimaWE Rg"/>
          <w:b/>
        </w:rPr>
      </w:pPr>
    </w:p>
    <w:p w:rsidR="0094643A" w:rsidRDefault="0094643A" w:rsidP="005C09EC">
      <w:pPr>
        <w:spacing w:after="0"/>
        <w:ind w:left="709"/>
        <w:jc w:val="both"/>
        <w:rPr>
          <w:rFonts w:ascii="DecimaWE Rg" w:hAnsi="DecimaWE Rg"/>
          <w:b/>
        </w:rPr>
      </w:pPr>
    </w:p>
    <w:p w:rsidR="0094643A" w:rsidRDefault="0094643A" w:rsidP="005C09EC">
      <w:pPr>
        <w:spacing w:after="0"/>
        <w:ind w:left="709"/>
        <w:jc w:val="both"/>
        <w:rPr>
          <w:rFonts w:ascii="DecimaWE Rg" w:hAnsi="DecimaWE Rg"/>
          <w:b/>
        </w:rPr>
      </w:pPr>
    </w:p>
    <w:p w:rsidR="0094643A" w:rsidRDefault="0094643A" w:rsidP="005C09EC">
      <w:pPr>
        <w:spacing w:after="0"/>
        <w:ind w:left="709"/>
        <w:jc w:val="both"/>
        <w:rPr>
          <w:rFonts w:ascii="DecimaWE Rg" w:hAnsi="DecimaWE Rg"/>
          <w:b/>
        </w:rPr>
      </w:pPr>
    </w:p>
    <w:p w:rsidR="0094643A" w:rsidRDefault="0094643A" w:rsidP="005C09EC">
      <w:pPr>
        <w:spacing w:after="0"/>
        <w:ind w:left="709"/>
        <w:jc w:val="both"/>
        <w:rPr>
          <w:rFonts w:ascii="DecimaWE Rg" w:hAnsi="DecimaWE Rg"/>
          <w:b/>
        </w:rPr>
      </w:pPr>
    </w:p>
    <w:p w:rsidR="0094643A" w:rsidRDefault="0094643A" w:rsidP="005C09EC">
      <w:pPr>
        <w:spacing w:after="0"/>
        <w:ind w:left="709"/>
        <w:jc w:val="both"/>
        <w:rPr>
          <w:rFonts w:ascii="DecimaWE Rg" w:hAnsi="DecimaWE Rg"/>
          <w:b/>
        </w:rPr>
      </w:pPr>
    </w:p>
    <w:p w:rsidR="0094643A" w:rsidRDefault="0094643A" w:rsidP="005C09EC">
      <w:pPr>
        <w:spacing w:after="0"/>
        <w:ind w:left="709"/>
        <w:jc w:val="both"/>
        <w:rPr>
          <w:rFonts w:ascii="DecimaWE Rg" w:hAnsi="DecimaWE Rg"/>
          <w:b/>
        </w:rPr>
      </w:pPr>
    </w:p>
    <w:p w:rsidR="0094643A" w:rsidRDefault="0094643A" w:rsidP="005C09EC">
      <w:pPr>
        <w:spacing w:after="0"/>
        <w:ind w:left="709"/>
        <w:jc w:val="both"/>
        <w:rPr>
          <w:rFonts w:ascii="DecimaWE Rg" w:hAnsi="DecimaWE Rg"/>
          <w:b/>
        </w:rPr>
      </w:pPr>
    </w:p>
    <w:p w:rsidR="0094643A" w:rsidRDefault="0094643A" w:rsidP="005C09EC">
      <w:pPr>
        <w:spacing w:after="0"/>
        <w:ind w:left="709"/>
        <w:jc w:val="both"/>
        <w:rPr>
          <w:rFonts w:ascii="DecimaWE Rg" w:hAnsi="DecimaWE Rg"/>
          <w:b/>
        </w:rPr>
      </w:pPr>
    </w:p>
    <w:p w:rsidR="0094643A" w:rsidRDefault="0094643A" w:rsidP="005C09EC">
      <w:pPr>
        <w:spacing w:after="0"/>
        <w:ind w:left="709"/>
        <w:jc w:val="both"/>
        <w:rPr>
          <w:rFonts w:ascii="DecimaWE Rg" w:hAnsi="DecimaWE Rg"/>
          <w:b/>
        </w:rPr>
      </w:pPr>
    </w:p>
    <w:p w:rsidR="0094643A" w:rsidRDefault="0094643A" w:rsidP="005C09EC">
      <w:pPr>
        <w:spacing w:after="0"/>
        <w:ind w:left="709"/>
        <w:jc w:val="both"/>
        <w:rPr>
          <w:rFonts w:ascii="DecimaWE Rg" w:hAnsi="DecimaWE Rg"/>
          <w:b/>
        </w:rPr>
      </w:pPr>
    </w:p>
    <w:p w:rsidR="0094643A" w:rsidRDefault="0094643A" w:rsidP="005C09EC">
      <w:pPr>
        <w:spacing w:after="0"/>
        <w:ind w:left="709"/>
        <w:jc w:val="both"/>
        <w:rPr>
          <w:rFonts w:ascii="DecimaWE Rg" w:hAnsi="DecimaWE Rg"/>
          <w:b/>
        </w:rPr>
      </w:pPr>
    </w:p>
    <w:p w:rsidR="0094643A" w:rsidRDefault="0094643A" w:rsidP="005C09EC">
      <w:pPr>
        <w:spacing w:after="0"/>
        <w:ind w:left="709"/>
        <w:jc w:val="both"/>
        <w:rPr>
          <w:rFonts w:ascii="DecimaWE Rg" w:hAnsi="DecimaWE Rg"/>
          <w:b/>
        </w:rPr>
      </w:pPr>
    </w:p>
    <w:p w:rsidR="0094643A" w:rsidRDefault="0094643A" w:rsidP="005C09EC">
      <w:pPr>
        <w:spacing w:after="0"/>
        <w:ind w:left="709"/>
        <w:jc w:val="both"/>
        <w:rPr>
          <w:rFonts w:ascii="DecimaWE Rg" w:hAnsi="DecimaWE Rg"/>
          <w:b/>
        </w:rPr>
      </w:pPr>
    </w:p>
    <w:p w:rsidR="0094643A" w:rsidRDefault="0094643A" w:rsidP="005C09EC">
      <w:pPr>
        <w:spacing w:after="0"/>
        <w:ind w:left="709"/>
        <w:jc w:val="both"/>
        <w:rPr>
          <w:rFonts w:ascii="DecimaWE Rg" w:hAnsi="DecimaWE Rg"/>
          <w:b/>
        </w:rPr>
      </w:pPr>
    </w:p>
    <w:p w:rsidR="0094643A" w:rsidRDefault="00DC1E55" w:rsidP="00DC1E55">
      <w:pPr>
        <w:tabs>
          <w:tab w:val="left" w:pos="6673"/>
        </w:tabs>
        <w:spacing w:after="0"/>
        <w:ind w:left="709"/>
        <w:jc w:val="both"/>
        <w:rPr>
          <w:rFonts w:ascii="DecimaWE Rg" w:hAnsi="DecimaWE Rg"/>
          <w:b/>
        </w:rPr>
      </w:pPr>
      <w:r>
        <w:rPr>
          <w:rFonts w:ascii="DecimaWE Rg" w:hAnsi="DecimaWE Rg"/>
          <w:b/>
        </w:rPr>
        <w:tab/>
      </w:r>
    </w:p>
    <w:p w:rsidR="0094643A" w:rsidRDefault="0094643A" w:rsidP="005C09EC">
      <w:pPr>
        <w:spacing w:after="0"/>
        <w:ind w:left="709"/>
        <w:jc w:val="both"/>
        <w:rPr>
          <w:rFonts w:ascii="DecimaWE Rg" w:hAnsi="DecimaWE Rg"/>
          <w:b/>
        </w:rPr>
      </w:pPr>
    </w:p>
    <w:p w:rsidR="0094643A" w:rsidRDefault="0094643A" w:rsidP="005C09EC">
      <w:pPr>
        <w:spacing w:after="0"/>
        <w:ind w:left="709"/>
        <w:jc w:val="both"/>
        <w:rPr>
          <w:rFonts w:ascii="DecimaWE Rg" w:hAnsi="DecimaWE Rg"/>
          <w:b/>
        </w:rPr>
      </w:pPr>
    </w:p>
    <w:p w:rsidR="0094643A" w:rsidRDefault="0094643A" w:rsidP="005C09EC">
      <w:pPr>
        <w:spacing w:after="0"/>
        <w:ind w:left="709"/>
        <w:jc w:val="both"/>
        <w:rPr>
          <w:rFonts w:ascii="DecimaWE Rg" w:hAnsi="DecimaWE Rg"/>
          <w:b/>
        </w:rPr>
      </w:pPr>
    </w:p>
    <w:p w:rsidR="0094643A" w:rsidRDefault="0094643A" w:rsidP="005C09EC">
      <w:pPr>
        <w:spacing w:after="0"/>
        <w:ind w:left="709"/>
        <w:jc w:val="both"/>
        <w:rPr>
          <w:rFonts w:ascii="DecimaWE Rg" w:hAnsi="DecimaWE Rg"/>
          <w:b/>
        </w:rPr>
      </w:pPr>
    </w:p>
    <w:p w:rsidR="00271CD0" w:rsidRDefault="00271CD0" w:rsidP="005C09EC">
      <w:pPr>
        <w:spacing w:after="0"/>
        <w:ind w:left="709"/>
        <w:jc w:val="both"/>
        <w:rPr>
          <w:rFonts w:ascii="DecimaWE Rg" w:hAnsi="DecimaWE Rg"/>
          <w:b/>
        </w:rPr>
      </w:pPr>
    </w:p>
    <w:p w:rsidR="004B2DA8" w:rsidRPr="0090110D" w:rsidRDefault="004B2DA8" w:rsidP="0094643A">
      <w:pPr>
        <w:pStyle w:val="Titolo1"/>
        <w:rPr>
          <w:rFonts w:ascii="DecimaWE Rg" w:hAnsi="DecimaWE Rg"/>
          <w:color w:val="000000" w:themeColor="text1"/>
          <w:sz w:val="22"/>
          <w:szCs w:val="22"/>
        </w:rPr>
      </w:pPr>
      <w:bookmarkStart w:id="1" w:name="_Toc9600345"/>
      <w:r w:rsidRPr="00471ACF">
        <w:rPr>
          <w:rFonts w:ascii="DecimaWE Rg" w:hAnsi="DecimaWE Rg"/>
          <w:color w:val="000000" w:themeColor="text1"/>
          <w:sz w:val="22"/>
          <w:szCs w:val="22"/>
        </w:rPr>
        <w:lastRenderedPageBreak/>
        <w:t>Premessa</w:t>
      </w:r>
      <w:bookmarkEnd w:id="1"/>
    </w:p>
    <w:p w:rsidR="004B2DA8" w:rsidRPr="0090110D" w:rsidRDefault="004B2DA8" w:rsidP="00842F22">
      <w:pPr>
        <w:spacing w:after="0"/>
        <w:jc w:val="both"/>
        <w:rPr>
          <w:rFonts w:ascii="DecimaWE Rg" w:hAnsi="DecimaWE Rg"/>
          <w:b/>
        </w:rPr>
      </w:pPr>
    </w:p>
    <w:p w:rsidR="00162C7A" w:rsidRDefault="004B2DA8" w:rsidP="005C09EC">
      <w:pPr>
        <w:spacing w:after="0"/>
        <w:jc w:val="both"/>
        <w:rPr>
          <w:rFonts w:ascii="DecimaWE Rg" w:hAnsi="DecimaWE Rg"/>
        </w:rPr>
      </w:pPr>
      <w:r w:rsidRPr="0090110D">
        <w:rPr>
          <w:rFonts w:ascii="DecimaWE Rg" w:hAnsi="DecimaWE Rg"/>
        </w:rPr>
        <w:t>La Misura attiva di sostegno al reddito (di seguito MIA)</w:t>
      </w:r>
      <w:r w:rsidR="00C36FDB">
        <w:rPr>
          <w:rFonts w:ascii="DecimaWE Rg" w:hAnsi="DecimaWE Rg"/>
        </w:rPr>
        <w:t xml:space="preserve"> </w:t>
      </w:r>
      <w:r w:rsidR="00162C7A">
        <w:rPr>
          <w:rFonts w:ascii="DecimaWE Rg" w:hAnsi="DecimaWE Rg"/>
        </w:rPr>
        <w:t xml:space="preserve">prevista dalla </w:t>
      </w:r>
      <w:r w:rsidR="00F14643">
        <w:rPr>
          <w:rFonts w:ascii="DecimaWE Rg" w:hAnsi="DecimaWE Rg"/>
        </w:rPr>
        <w:t>L.R. 15/2015</w:t>
      </w:r>
      <w:r w:rsidR="00162C7A">
        <w:rPr>
          <w:rFonts w:ascii="DecimaWE Rg" w:hAnsi="DecimaWE Rg"/>
        </w:rPr>
        <w:t xml:space="preserve"> è una misura</w:t>
      </w:r>
      <w:r w:rsidR="00F14643">
        <w:rPr>
          <w:rFonts w:ascii="DecimaWE Rg" w:hAnsi="DecimaWE Rg"/>
        </w:rPr>
        <w:t xml:space="preserve"> </w:t>
      </w:r>
      <w:r w:rsidR="00C36FDB">
        <w:rPr>
          <w:rFonts w:ascii="DecimaWE Rg" w:hAnsi="DecimaWE Rg"/>
        </w:rPr>
        <w:t>fi</w:t>
      </w:r>
      <w:r w:rsidRPr="0090110D">
        <w:rPr>
          <w:rFonts w:ascii="DecimaWE Rg" w:hAnsi="DecimaWE Rg"/>
        </w:rPr>
        <w:t>nalizzata a contrastare la povertà e l’esclusione sociale dei nuclei familiari, anche unipersonali, con almeno un componente residente in Regione da non meno di ventiquattro mesi e con Indicatore della situazione economica equivalente (ISEE) inferio</w:t>
      </w:r>
      <w:r w:rsidR="00B61E1E">
        <w:rPr>
          <w:rFonts w:ascii="DecimaWE Rg" w:hAnsi="DecimaWE Rg"/>
        </w:rPr>
        <w:t>re a 6.000 euro, oltre agli</w:t>
      </w:r>
      <w:r w:rsidRPr="0090110D">
        <w:rPr>
          <w:rFonts w:ascii="DecimaWE Rg" w:hAnsi="DecimaWE Rg"/>
        </w:rPr>
        <w:t xml:space="preserve"> altri requisiti economici e patrimoniali</w:t>
      </w:r>
      <w:r w:rsidR="00D83542">
        <w:rPr>
          <w:rFonts w:ascii="DecimaWE Rg" w:hAnsi="DecimaWE Rg"/>
        </w:rPr>
        <w:t xml:space="preserve"> previsti</w:t>
      </w:r>
      <w:r w:rsidRPr="0090110D">
        <w:rPr>
          <w:rStyle w:val="Rimandonotaapidipagina"/>
          <w:rFonts w:ascii="DecimaWE Rg" w:hAnsi="DecimaWE Rg"/>
        </w:rPr>
        <w:footnoteReference w:id="1"/>
      </w:r>
      <w:r w:rsidR="00162C7A">
        <w:rPr>
          <w:rFonts w:ascii="DecimaWE Rg" w:hAnsi="DecimaWE Rg"/>
        </w:rPr>
        <w:t xml:space="preserve">. </w:t>
      </w:r>
    </w:p>
    <w:p w:rsidR="004B2DA8" w:rsidRPr="0090110D" w:rsidRDefault="00162C7A" w:rsidP="005C09EC">
      <w:pPr>
        <w:spacing w:after="0"/>
        <w:jc w:val="both"/>
        <w:rPr>
          <w:rFonts w:ascii="DecimaWE Rg" w:hAnsi="DecimaWE Rg"/>
        </w:rPr>
      </w:pPr>
      <w:r>
        <w:rPr>
          <w:rFonts w:ascii="DecimaWE Rg" w:hAnsi="DecimaWE Rg"/>
        </w:rPr>
        <w:t>La norma istitutiva prevede u</w:t>
      </w:r>
      <w:r w:rsidR="00D74789">
        <w:rPr>
          <w:rFonts w:ascii="DecimaWE Rg" w:hAnsi="DecimaWE Rg"/>
        </w:rPr>
        <w:t>n’</w:t>
      </w:r>
      <w:r>
        <w:rPr>
          <w:rFonts w:ascii="DecimaWE Rg" w:hAnsi="DecimaWE Rg"/>
        </w:rPr>
        <w:t xml:space="preserve">applicazione della misura in via </w:t>
      </w:r>
      <w:r w:rsidR="00C36FDB">
        <w:rPr>
          <w:rFonts w:ascii="DecimaWE Rg" w:hAnsi="DecimaWE Rg"/>
        </w:rPr>
        <w:t>sperimentale</w:t>
      </w:r>
      <w:r w:rsidR="00C36FDB" w:rsidRPr="0090110D">
        <w:rPr>
          <w:rFonts w:ascii="DecimaWE Rg" w:hAnsi="DecimaWE Rg"/>
        </w:rPr>
        <w:t xml:space="preserve"> per un periodo di tre anni </w:t>
      </w:r>
      <w:r>
        <w:rPr>
          <w:rFonts w:ascii="DecimaWE Rg" w:hAnsi="DecimaWE Rg"/>
        </w:rPr>
        <w:t>a partire dall’entrata in vigore del regolamento attuativo</w:t>
      </w:r>
      <w:r w:rsidR="00D83542">
        <w:rPr>
          <w:rFonts w:ascii="DecimaWE Rg" w:hAnsi="DecimaWE Rg"/>
        </w:rPr>
        <w:t>,</w:t>
      </w:r>
      <w:r>
        <w:rPr>
          <w:rFonts w:ascii="DecimaWE Rg" w:hAnsi="DecimaWE Rg"/>
        </w:rPr>
        <w:t xml:space="preserve"> avvenuta il 22 ottobre 2015. La sperimentazione ha </w:t>
      </w:r>
      <w:r w:rsidR="00C36FDB">
        <w:rPr>
          <w:rFonts w:ascii="DecimaWE Rg" w:hAnsi="DecimaWE Rg"/>
        </w:rPr>
        <w:t>trova</w:t>
      </w:r>
      <w:r>
        <w:rPr>
          <w:rFonts w:ascii="DecimaWE Rg" w:hAnsi="DecimaWE Rg"/>
        </w:rPr>
        <w:t xml:space="preserve">to quindi conclusione il 22 ottobre </w:t>
      </w:r>
      <w:r w:rsidR="00C36FDB">
        <w:rPr>
          <w:rFonts w:ascii="DecimaWE Rg" w:hAnsi="DecimaWE Rg"/>
        </w:rPr>
        <w:t>2018</w:t>
      </w:r>
      <w:r>
        <w:rPr>
          <w:rFonts w:ascii="DecimaWE Rg" w:hAnsi="DecimaWE Rg"/>
        </w:rPr>
        <w:t xml:space="preserve">, fermo restando che le domande presentate entro tale </w:t>
      </w:r>
      <w:r w:rsidR="00B062D3">
        <w:rPr>
          <w:rFonts w:ascii="DecimaWE Rg" w:hAnsi="DecimaWE Rg"/>
        </w:rPr>
        <w:t>data e quelle</w:t>
      </w:r>
      <w:r>
        <w:rPr>
          <w:rFonts w:ascii="DecimaWE Rg" w:hAnsi="DecimaWE Rg"/>
        </w:rPr>
        <w:t xml:space="preserve"> che a tale data erano in corso di concessione proseguono fino alla loro scadenza</w:t>
      </w:r>
      <w:r w:rsidR="00C51CCD">
        <w:rPr>
          <w:rStyle w:val="Rimandonotaapidipagina"/>
          <w:rFonts w:ascii="DecimaWE Rg" w:hAnsi="DecimaWE Rg"/>
        </w:rPr>
        <w:footnoteReference w:id="2"/>
      </w:r>
      <w:r>
        <w:rPr>
          <w:rFonts w:ascii="DecimaWE Rg" w:hAnsi="DecimaWE Rg"/>
        </w:rPr>
        <w:t>.</w:t>
      </w:r>
    </w:p>
    <w:p w:rsidR="00153295" w:rsidRDefault="00C36FDB" w:rsidP="00C36FDB">
      <w:pPr>
        <w:spacing w:after="0"/>
        <w:jc w:val="both"/>
        <w:rPr>
          <w:rFonts w:ascii="DecimaWE Rg" w:hAnsi="DecimaWE Rg"/>
        </w:rPr>
      </w:pPr>
      <w:r>
        <w:rPr>
          <w:rFonts w:ascii="DecimaWE Rg" w:hAnsi="DecimaWE Rg"/>
        </w:rPr>
        <w:t>La MIA</w:t>
      </w:r>
      <w:r w:rsidR="00B30F02">
        <w:rPr>
          <w:rFonts w:ascii="DecimaWE Rg" w:hAnsi="DecimaWE Rg"/>
        </w:rPr>
        <w:t>,</w:t>
      </w:r>
      <w:r>
        <w:rPr>
          <w:rFonts w:ascii="DecimaWE Rg" w:hAnsi="DecimaWE Rg"/>
        </w:rPr>
        <w:t xml:space="preserve"> </w:t>
      </w:r>
      <w:r w:rsidR="00B30F02">
        <w:rPr>
          <w:rFonts w:ascii="DecimaWE Rg" w:hAnsi="DecimaWE Rg"/>
        </w:rPr>
        <w:t>in linea</w:t>
      </w:r>
      <w:r>
        <w:rPr>
          <w:rFonts w:ascii="DecimaWE Rg" w:hAnsi="DecimaWE Rg"/>
        </w:rPr>
        <w:t xml:space="preserve"> </w:t>
      </w:r>
      <w:r w:rsidR="00B30F02">
        <w:rPr>
          <w:rFonts w:ascii="DecimaWE Rg" w:hAnsi="DecimaWE Rg"/>
        </w:rPr>
        <w:t xml:space="preserve">con </w:t>
      </w:r>
      <w:r>
        <w:rPr>
          <w:rFonts w:ascii="DecimaWE Rg" w:hAnsi="DecimaWE Rg"/>
        </w:rPr>
        <w:t>i dettami</w:t>
      </w:r>
      <w:r w:rsidRPr="0090110D">
        <w:rPr>
          <w:rFonts w:ascii="DecimaWE Rg" w:hAnsi="DecimaWE Rg"/>
        </w:rPr>
        <w:t xml:space="preserve"> e le impostazioni delle misure che sono state avviate successivamente</w:t>
      </w:r>
      <w:r w:rsidR="00F14643">
        <w:rPr>
          <w:rFonts w:ascii="DecimaWE Rg" w:hAnsi="DecimaWE Rg"/>
        </w:rPr>
        <w:t xml:space="preserve"> </w:t>
      </w:r>
      <w:r w:rsidR="00E63795">
        <w:rPr>
          <w:rFonts w:ascii="DecimaWE Rg" w:hAnsi="DecimaWE Rg"/>
        </w:rPr>
        <w:t xml:space="preserve">a livello nazionale, </w:t>
      </w:r>
      <w:r w:rsidR="00B30F02">
        <w:rPr>
          <w:rFonts w:ascii="DecimaWE Rg" w:hAnsi="DecimaWE Rg"/>
        </w:rPr>
        <w:t>è orientata alla promozione</w:t>
      </w:r>
      <w:r w:rsidR="00F14643">
        <w:rPr>
          <w:rFonts w:ascii="DecimaWE Rg" w:hAnsi="DecimaWE Rg"/>
        </w:rPr>
        <w:t xml:space="preserve"> </w:t>
      </w:r>
      <w:r w:rsidR="00B30F02">
        <w:rPr>
          <w:rFonts w:ascii="DecimaWE Rg" w:hAnsi="DecimaWE Rg"/>
        </w:rPr>
        <w:t>del</w:t>
      </w:r>
      <w:r w:rsidR="00F14643" w:rsidRPr="0090110D">
        <w:rPr>
          <w:rFonts w:ascii="DecimaWE Rg" w:hAnsi="DecimaWE Rg"/>
        </w:rPr>
        <w:t>la graduale</w:t>
      </w:r>
      <w:r w:rsidR="00F14643">
        <w:rPr>
          <w:rFonts w:ascii="DecimaWE Rg" w:hAnsi="DecimaWE Rg"/>
        </w:rPr>
        <w:t xml:space="preserve"> e autonoma</w:t>
      </w:r>
      <w:r w:rsidR="00F14643" w:rsidRPr="0090110D">
        <w:rPr>
          <w:rFonts w:ascii="DecimaWE Rg" w:hAnsi="DecimaWE Rg"/>
        </w:rPr>
        <w:t xml:space="preserve"> uscita del nucleo beneficiario</w:t>
      </w:r>
      <w:r w:rsidR="00E63795" w:rsidRPr="00E63795">
        <w:rPr>
          <w:rFonts w:ascii="DecimaWE Rg" w:hAnsi="DecimaWE Rg"/>
        </w:rPr>
        <w:t xml:space="preserve"> </w:t>
      </w:r>
      <w:r w:rsidR="00E63795" w:rsidRPr="0090110D">
        <w:rPr>
          <w:rFonts w:ascii="DecimaWE Rg" w:hAnsi="DecimaWE Rg"/>
        </w:rPr>
        <w:t>dalla condizione di indigenza</w:t>
      </w:r>
      <w:r w:rsidR="00F14643">
        <w:rPr>
          <w:rFonts w:ascii="DecimaWE Rg" w:hAnsi="DecimaWE Rg"/>
        </w:rPr>
        <w:t xml:space="preserve"> attraverso</w:t>
      </w:r>
      <w:r w:rsidR="00F14643" w:rsidRPr="0090110D">
        <w:rPr>
          <w:rFonts w:ascii="DecimaWE Rg" w:hAnsi="DecimaWE Rg"/>
        </w:rPr>
        <w:t xml:space="preserve"> l’erogazione di un contributo economico condizionato</w:t>
      </w:r>
      <w:r w:rsidR="00F14643">
        <w:rPr>
          <w:rFonts w:ascii="DecimaWE Rg" w:hAnsi="DecimaWE Rg"/>
        </w:rPr>
        <w:t xml:space="preserve"> al rispetto d</w:t>
      </w:r>
      <w:r w:rsidR="00F14643" w:rsidRPr="0090110D">
        <w:rPr>
          <w:rFonts w:ascii="DecimaWE Rg" w:hAnsi="DecimaWE Rg"/>
        </w:rPr>
        <w:t>i obie</w:t>
      </w:r>
      <w:r w:rsidR="00F14643">
        <w:rPr>
          <w:rFonts w:ascii="DecimaWE Rg" w:hAnsi="DecimaWE Rg"/>
        </w:rPr>
        <w:t xml:space="preserve">ttivi di inclusione sociale, occupabilità, inserimento lavorativo, </w:t>
      </w:r>
      <w:r w:rsidR="00F14643" w:rsidRPr="0090110D">
        <w:rPr>
          <w:rFonts w:ascii="DecimaWE Rg" w:hAnsi="DecimaWE Rg"/>
        </w:rPr>
        <w:t>riduzione dei rischi di marginalità</w:t>
      </w:r>
      <w:r w:rsidR="00153295">
        <w:rPr>
          <w:rFonts w:ascii="DecimaWE Rg" w:hAnsi="DecimaWE Rg"/>
        </w:rPr>
        <w:t>,</w:t>
      </w:r>
      <w:r w:rsidR="00F14643">
        <w:rPr>
          <w:rFonts w:ascii="DecimaWE Rg" w:hAnsi="DecimaWE Rg"/>
        </w:rPr>
        <w:t xml:space="preserve"> assunti da</w:t>
      </w:r>
      <w:r w:rsidR="00F14643" w:rsidRPr="0090110D">
        <w:rPr>
          <w:rFonts w:ascii="DecimaWE Rg" w:hAnsi="DecimaWE Rg"/>
        </w:rPr>
        <w:t xml:space="preserve"> ciascun componente del nucleo</w:t>
      </w:r>
      <w:r w:rsidR="00F14643">
        <w:rPr>
          <w:rFonts w:ascii="DecimaWE Rg" w:hAnsi="DecimaWE Rg"/>
        </w:rPr>
        <w:t xml:space="preserve"> all’interno del</w:t>
      </w:r>
      <w:r w:rsidR="00F14643" w:rsidRPr="0090110D">
        <w:rPr>
          <w:rFonts w:ascii="DecimaWE Rg" w:hAnsi="DecimaWE Rg"/>
        </w:rPr>
        <w:t xml:space="preserve"> </w:t>
      </w:r>
      <w:r w:rsidR="00F14643">
        <w:rPr>
          <w:rFonts w:ascii="DecimaWE Rg" w:hAnsi="DecimaWE Rg"/>
        </w:rPr>
        <w:t>“</w:t>
      </w:r>
      <w:r w:rsidR="00F14643" w:rsidRPr="0090110D">
        <w:rPr>
          <w:rFonts w:ascii="DecimaWE Rg" w:hAnsi="DecimaWE Rg"/>
        </w:rPr>
        <w:t>Patto di inclusione</w:t>
      </w:r>
      <w:r w:rsidR="00F14643">
        <w:rPr>
          <w:rFonts w:ascii="DecimaWE Rg" w:hAnsi="DecimaWE Rg"/>
        </w:rPr>
        <w:t>”. L</w:t>
      </w:r>
      <w:r w:rsidR="00F14643" w:rsidRPr="0090110D">
        <w:rPr>
          <w:rFonts w:ascii="DecimaWE Rg" w:hAnsi="DecimaWE Rg"/>
        </w:rPr>
        <w:t xml:space="preserve">a presa </w:t>
      </w:r>
      <w:r w:rsidR="00F14643">
        <w:rPr>
          <w:rFonts w:ascii="DecimaWE Rg" w:hAnsi="DecimaWE Rg"/>
        </w:rPr>
        <w:t>in carico del nucleo</w:t>
      </w:r>
      <w:r w:rsidR="00F14643" w:rsidRPr="0090110D">
        <w:rPr>
          <w:rFonts w:ascii="DecimaWE Rg" w:hAnsi="DecimaWE Rg"/>
        </w:rPr>
        <w:t xml:space="preserve"> da parte de</w:t>
      </w:r>
      <w:r w:rsidR="00F14643">
        <w:rPr>
          <w:rFonts w:ascii="DecimaWE Rg" w:hAnsi="DecimaWE Rg"/>
        </w:rPr>
        <w:t>i Servizi Sociali dei Comuni</w:t>
      </w:r>
      <w:r w:rsidR="00DF4F32">
        <w:rPr>
          <w:rFonts w:ascii="DecimaWE Rg" w:hAnsi="DecimaWE Rg"/>
        </w:rPr>
        <w:t xml:space="preserve"> prev</w:t>
      </w:r>
      <w:r w:rsidR="0008102E">
        <w:rPr>
          <w:rFonts w:ascii="DecimaWE Rg" w:hAnsi="DecimaWE Rg"/>
        </w:rPr>
        <w:t>ede</w:t>
      </w:r>
      <w:r w:rsidR="00F14643">
        <w:rPr>
          <w:rFonts w:ascii="DecimaWE Rg" w:hAnsi="DecimaWE Rg"/>
        </w:rPr>
        <w:t xml:space="preserve"> infatti la predisposizione</w:t>
      </w:r>
      <w:r w:rsidR="00153295">
        <w:rPr>
          <w:rFonts w:ascii="DecimaWE Rg" w:hAnsi="DecimaWE Rg"/>
        </w:rPr>
        <w:t xml:space="preserve"> e </w:t>
      </w:r>
      <w:r w:rsidR="00D74789">
        <w:rPr>
          <w:rFonts w:ascii="DecimaWE Rg" w:hAnsi="DecimaWE Rg"/>
        </w:rPr>
        <w:t xml:space="preserve">la </w:t>
      </w:r>
      <w:r w:rsidR="00153295">
        <w:rPr>
          <w:rFonts w:ascii="DecimaWE Rg" w:hAnsi="DecimaWE Rg"/>
        </w:rPr>
        <w:t>stipula</w:t>
      </w:r>
      <w:r w:rsidR="00F14643">
        <w:rPr>
          <w:rFonts w:ascii="DecimaWE Rg" w:hAnsi="DecimaWE Rg"/>
        </w:rPr>
        <w:t xml:space="preserve"> del Patto</w:t>
      </w:r>
      <w:r w:rsidR="00153295">
        <w:rPr>
          <w:rFonts w:ascii="DecimaWE Rg" w:hAnsi="DecimaWE Rg"/>
        </w:rPr>
        <w:t xml:space="preserve"> di Inclusione </w:t>
      </w:r>
      <w:r w:rsidR="00D74789">
        <w:rPr>
          <w:rFonts w:ascii="DecimaWE Rg" w:hAnsi="DecimaWE Rg"/>
        </w:rPr>
        <w:t xml:space="preserve">con i componenti dei nuclei familiari </w:t>
      </w:r>
      <w:r w:rsidR="00153295">
        <w:rPr>
          <w:rFonts w:ascii="DecimaWE Rg" w:hAnsi="DecimaWE Rg"/>
        </w:rPr>
        <w:t>beneficiari</w:t>
      </w:r>
      <w:r w:rsidR="00F14643">
        <w:rPr>
          <w:rFonts w:ascii="DecimaWE Rg" w:hAnsi="DecimaWE Rg"/>
        </w:rPr>
        <w:t xml:space="preserve"> della misura</w:t>
      </w:r>
      <w:r w:rsidR="00F14643" w:rsidRPr="0090110D">
        <w:rPr>
          <w:rFonts w:ascii="DecimaWE Rg" w:hAnsi="DecimaWE Rg"/>
        </w:rPr>
        <w:t xml:space="preserve"> sulla base di una </w:t>
      </w:r>
      <w:r w:rsidR="00D74789">
        <w:rPr>
          <w:rFonts w:ascii="DecimaWE Rg" w:hAnsi="DecimaWE Rg"/>
        </w:rPr>
        <w:t xml:space="preserve">preventiva </w:t>
      </w:r>
      <w:r w:rsidR="00F14643" w:rsidRPr="0090110D">
        <w:rPr>
          <w:rFonts w:ascii="DecimaWE Rg" w:hAnsi="DecimaWE Rg"/>
        </w:rPr>
        <w:t>valutazione integrata</w:t>
      </w:r>
      <w:r w:rsidR="00F14643" w:rsidRPr="00F14643">
        <w:rPr>
          <w:rFonts w:ascii="DecimaWE Rg" w:hAnsi="DecimaWE Rg"/>
        </w:rPr>
        <w:t xml:space="preserve"> </w:t>
      </w:r>
      <w:r w:rsidR="00F14643" w:rsidRPr="0090110D">
        <w:rPr>
          <w:rFonts w:ascii="DecimaWE Rg" w:hAnsi="DecimaWE Rg"/>
        </w:rPr>
        <w:t>delle problematiche e dei bisogni</w:t>
      </w:r>
      <w:r w:rsidR="00F14643">
        <w:rPr>
          <w:rFonts w:ascii="DecimaWE Rg" w:hAnsi="DecimaWE Rg"/>
        </w:rPr>
        <w:t xml:space="preserve"> e l’individuazione degli obiettivi da perseguire, anche </w:t>
      </w:r>
      <w:r w:rsidR="00F14643" w:rsidRPr="0090110D">
        <w:rPr>
          <w:rFonts w:ascii="DecimaWE Rg" w:hAnsi="DecimaWE Rg"/>
        </w:rPr>
        <w:t>in rete con</w:t>
      </w:r>
      <w:r w:rsidR="00F14643">
        <w:rPr>
          <w:rFonts w:ascii="DecimaWE Rg" w:hAnsi="DecimaWE Rg"/>
        </w:rPr>
        <w:t xml:space="preserve"> i</w:t>
      </w:r>
      <w:r w:rsidR="00F14643" w:rsidRPr="0090110D">
        <w:rPr>
          <w:rFonts w:ascii="DecimaWE Rg" w:hAnsi="DecimaWE Rg"/>
        </w:rPr>
        <w:t xml:space="preserve"> Servizi regionali competenti in materia di lavoro e della formazione e c</w:t>
      </w:r>
      <w:r w:rsidR="00F14643">
        <w:rPr>
          <w:rFonts w:ascii="DecimaWE Rg" w:hAnsi="DecimaWE Rg"/>
        </w:rPr>
        <w:t>on i soggetti del terzo settore</w:t>
      </w:r>
      <w:r w:rsidR="0008102E">
        <w:rPr>
          <w:rFonts w:ascii="DecimaWE Rg" w:hAnsi="DecimaWE Rg"/>
        </w:rPr>
        <w:t>,</w:t>
      </w:r>
      <w:r w:rsidR="00153295">
        <w:rPr>
          <w:rFonts w:ascii="DecimaWE Rg" w:hAnsi="DecimaWE Rg"/>
        </w:rPr>
        <w:t xml:space="preserve"> e il successivo monitor</w:t>
      </w:r>
      <w:r w:rsidR="00DF4F32">
        <w:rPr>
          <w:rFonts w:ascii="DecimaWE Rg" w:hAnsi="DecimaWE Rg"/>
        </w:rPr>
        <w:t>aggio relativo</w:t>
      </w:r>
      <w:r w:rsidR="00153295">
        <w:rPr>
          <w:rFonts w:ascii="DecimaWE Rg" w:hAnsi="DecimaWE Rg"/>
        </w:rPr>
        <w:t xml:space="preserve"> all’adempimento degli impegni assunti</w:t>
      </w:r>
      <w:r w:rsidR="00F14643">
        <w:rPr>
          <w:rFonts w:ascii="DecimaWE Rg" w:hAnsi="DecimaWE Rg"/>
        </w:rPr>
        <w:t>.</w:t>
      </w:r>
    </w:p>
    <w:p w:rsidR="004F6EE5" w:rsidRDefault="004F6EE5" w:rsidP="00084F0A">
      <w:pPr>
        <w:spacing w:after="0"/>
        <w:jc w:val="both"/>
        <w:rPr>
          <w:rFonts w:ascii="DecimaWE Rg" w:hAnsi="DecimaWE Rg"/>
        </w:rPr>
      </w:pPr>
      <w:r>
        <w:rPr>
          <w:rFonts w:ascii="DecimaWE Rg" w:hAnsi="DecimaWE Rg"/>
        </w:rPr>
        <w:t xml:space="preserve">La MIA </w:t>
      </w:r>
      <w:r w:rsidR="00A55E32">
        <w:rPr>
          <w:rFonts w:ascii="DecimaWE Rg" w:hAnsi="DecimaWE Rg"/>
        </w:rPr>
        <w:t>in</w:t>
      </w:r>
      <w:r>
        <w:rPr>
          <w:rFonts w:ascii="DecimaWE Rg" w:hAnsi="DecimaWE Rg"/>
        </w:rPr>
        <w:t xml:space="preserve"> sostanza ha anticipato i contenuti e le caratteristiche delle misure nazionali di contrasto alla povertà e di inclusione sociale che si sono susseguite nel </w:t>
      </w:r>
      <w:r w:rsidR="00153295">
        <w:rPr>
          <w:rFonts w:ascii="DecimaWE Rg" w:hAnsi="DecimaWE Rg"/>
        </w:rPr>
        <w:t>corso del triennio di sperimentazione</w:t>
      </w:r>
      <w:r>
        <w:rPr>
          <w:rFonts w:ascii="DecimaWE Rg" w:hAnsi="DecimaWE Rg"/>
        </w:rPr>
        <w:t>, rappresentate dapprima dal Sostegno per l’Inclusione Attiva</w:t>
      </w:r>
      <w:r w:rsidR="00B062D3">
        <w:rPr>
          <w:rFonts w:ascii="DecimaWE Rg" w:hAnsi="DecimaWE Rg"/>
        </w:rPr>
        <w:t xml:space="preserve"> (SIA)</w:t>
      </w:r>
      <w:r>
        <w:rPr>
          <w:rFonts w:ascii="DecimaWE Rg" w:hAnsi="DecimaWE Rg"/>
        </w:rPr>
        <w:t xml:space="preserve"> avviato nel settembre 2016, poi </w:t>
      </w:r>
      <w:r w:rsidR="00A55E32">
        <w:rPr>
          <w:rFonts w:ascii="DecimaWE Rg" w:hAnsi="DecimaWE Rg"/>
        </w:rPr>
        <w:t>da</w:t>
      </w:r>
      <w:r>
        <w:rPr>
          <w:rFonts w:ascii="DecimaWE Rg" w:hAnsi="DecimaWE Rg"/>
        </w:rPr>
        <w:t>l Reddito di Inclusione (</w:t>
      </w:r>
      <w:proofErr w:type="spellStart"/>
      <w:r w:rsidR="00EC2880">
        <w:rPr>
          <w:rFonts w:ascii="DecimaWE Rg" w:hAnsi="DecimaWE Rg"/>
        </w:rPr>
        <w:t>ReI</w:t>
      </w:r>
      <w:proofErr w:type="spellEnd"/>
      <w:r>
        <w:rPr>
          <w:rFonts w:ascii="DecimaWE Rg" w:hAnsi="DecimaWE Rg"/>
        </w:rPr>
        <w:t>) avviato nel gennaio 2018</w:t>
      </w:r>
      <w:r w:rsidR="00C718D9">
        <w:rPr>
          <w:rFonts w:ascii="DecimaWE Rg" w:hAnsi="DecimaWE Rg"/>
        </w:rPr>
        <w:t xml:space="preserve"> e</w:t>
      </w:r>
      <w:r w:rsidR="00A51091">
        <w:rPr>
          <w:rFonts w:ascii="DecimaWE Rg" w:hAnsi="DecimaWE Rg"/>
        </w:rPr>
        <w:t xml:space="preserve">d infine dal </w:t>
      </w:r>
      <w:r w:rsidR="00C718D9">
        <w:rPr>
          <w:rFonts w:ascii="DecimaWE Rg" w:hAnsi="DecimaWE Rg"/>
        </w:rPr>
        <w:t>Reddito di Cittadinanza (</w:t>
      </w:r>
      <w:proofErr w:type="spellStart"/>
      <w:r w:rsidR="00C718D9">
        <w:rPr>
          <w:rFonts w:ascii="DecimaWE Rg" w:hAnsi="DecimaWE Rg"/>
        </w:rPr>
        <w:t>RdC</w:t>
      </w:r>
      <w:proofErr w:type="spellEnd"/>
      <w:r w:rsidR="00C718D9">
        <w:rPr>
          <w:rFonts w:ascii="DecimaWE Rg" w:hAnsi="DecimaWE Rg"/>
        </w:rPr>
        <w:t>)</w:t>
      </w:r>
      <w:r w:rsidR="00B062D3">
        <w:rPr>
          <w:rFonts w:ascii="DecimaWE Rg" w:hAnsi="DecimaWE Rg"/>
        </w:rPr>
        <w:t xml:space="preserve"> avviato </w:t>
      </w:r>
      <w:r w:rsidR="00B738CB">
        <w:rPr>
          <w:rFonts w:ascii="DecimaWE Rg" w:hAnsi="DecimaWE Rg"/>
        </w:rPr>
        <w:t>nell’</w:t>
      </w:r>
      <w:r w:rsidR="00B062D3">
        <w:rPr>
          <w:rFonts w:ascii="DecimaWE Rg" w:hAnsi="DecimaWE Rg"/>
        </w:rPr>
        <w:t>aprile 2019</w:t>
      </w:r>
      <w:r w:rsidR="00C718D9">
        <w:rPr>
          <w:rFonts w:ascii="DecimaWE Rg" w:hAnsi="DecimaWE Rg"/>
        </w:rPr>
        <w:t>.</w:t>
      </w:r>
    </w:p>
    <w:p w:rsidR="00C718D9" w:rsidRDefault="00C718D9" w:rsidP="00CC4EBF">
      <w:pPr>
        <w:spacing w:after="0"/>
        <w:jc w:val="both"/>
        <w:rPr>
          <w:rFonts w:ascii="DecimaWE Rg" w:hAnsi="DecimaWE Rg"/>
        </w:rPr>
      </w:pPr>
      <w:r>
        <w:rPr>
          <w:rFonts w:ascii="DecimaWE Rg" w:hAnsi="DecimaWE Rg"/>
        </w:rPr>
        <w:t>La rapida evoluzione delle misure nazionali</w:t>
      </w:r>
      <w:r w:rsidR="005B1E37">
        <w:rPr>
          <w:rFonts w:ascii="DecimaWE Rg" w:hAnsi="DecimaWE Rg"/>
        </w:rPr>
        <w:t xml:space="preserve"> che</w:t>
      </w:r>
      <w:r w:rsidR="008645F8">
        <w:rPr>
          <w:rFonts w:ascii="DecimaWE Rg" w:hAnsi="DecimaWE Rg"/>
        </w:rPr>
        <w:t>,</w:t>
      </w:r>
      <w:r w:rsidR="005B1E37">
        <w:rPr>
          <w:rFonts w:ascii="DecimaWE Rg" w:hAnsi="DecimaWE Rg"/>
        </w:rPr>
        <w:t xml:space="preserve"> </w:t>
      </w:r>
      <w:r w:rsidR="008645F8">
        <w:rPr>
          <w:rFonts w:ascii="DecimaWE Rg" w:hAnsi="DecimaWE Rg"/>
        </w:rPr>
        <w:t xml:space="preserve">a partire dal </w:t>
      </w:r>
      <w:proofErr w:type="spellStart"/>
      <w:r w:rsidR="008645F8">
        <w:rPr>
          <w:rFonts w:ascii="DecimaWE Rg" w:hAnsi="DecimaWE Rg"/>
        </w:rPr>
        <w:t>ReI</w:t>
      </w:r>
      <w:proofErr w:type="spellEnd"/>
      <w:r w:rsidR="008645F8">
        <w:rPr>
          <w:rFonts w:ascii="DecimaWE Rg" w:hAnsi="DecimaWE Rg"/>
        </w:rPr>
        <w:t>, s</w:t>
      </w:r>
      <w:r w:rsidR="005B1E37">
        <w:rPr>
          <w:rFonts w:ascii="DecimaWE Rg" w:hAnsi="DecimaWE Rg"/>
        </w:rPr>
        <w:t>ono state</w:t>
      </w:r>
      <w:r>
        <w:rPr>
          <w:rFonts w:ascii="DecimaWE Rg" w:hAnsi="DecimaWE Rg"/>
        </w:rPr>
        <w:t xml:space="preserve"> identificate</w:t>
      </w:r>
      <w:r w:rsidRPr="00C718D9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 xml:space="preserve">dal legislatore statale quali </w:t>
      </w:r>
      <w:r w:rsidRPr="0090110D">
        <w:rPr>
          <w:rFonts w:ascii="DecimaWE Rg" w:hAnsi="DecimaWE Rg"/>
        </w:rPr>
        <w:t>misur</w:t>
      </w:r>
      <w:r>
        <w:rPr>
          <w:rFonts w:ascii="DecimaWE Rg" w:hAnsi="DecimaWE Rg"/>
        </w:rPr>
        <w:t>e</w:t>
      </w:r>
      <w:r w:rsidRPr="0090110D">
        <w:rPr>
          <w:rFonts w:ascii="DecimaWE Rg" w:hAnsi="DecimaWE Rg"/>
        </w:rPr>
        <w:t xml:space="preserve"> unic</w:t>
      </w:r>
      <w:r>
        <w:rPr>
          <w:rFonts w:ascii="DecimaWE Rg" w:hAnsi="DecimaWE Rg"/>
        </w:rPr>
        <w:t>he</w:t>
      </w:r>
      <w:r w:rsidRPr="0090110D">
        <w:rPr>
          <w:rFonts w:ascii="DecimaWE Rg" w:hAnsi="DecimaWE Rg"/>
        </w:rPr>
        <w:t xml:space="preserve"> a </w:t>
      </w:r>
      <w:r w:rsidRPr="00875866">
        <w:rPr>
          <w:rFonts w:ascii="DecimaWE Rg" w:hAnsi="DecimaWE Rg"/>
        </w:rPr>
        <w:t>livello nazionale di contrasto alla povertà e all'esclusione sociale a carattere universale e livell</w:t>
      </w:r>
      <w:r>
        <w:rPr>
          <w:rFonts w:ascii="DecimaWE Rg" w:hAnsi="DecimaWE Rg"/>
        </w:rPr>
        <w:t>i</w:t>
      </w:r>
      <w:r w:rsidRPr="00875866">
        <w:rPr>
          <w:rFonts w:ascii="DecimaWE Rg" w:hAnsi="DecimaWE Rg"/>
        </w:rPr>
        <w:t xml:space="preserve"> essenzial</w:t>
      </w:r>
      <w:r>
        <w:rPr>
          <w:rFonts w:ascii="DecimaWE Rg" w:hAnsi="DecimaWE Rg"/>
        </w:rPr>
        <w:t xml:space="preserve">i </w:t>
      </w:r>
      <w:r w:rsidRPr="00875866">
        <w:rPr>
          <w:rFonts w:ascii="DecimaWE Rg" w:hAnsi="DecimaWE Rg"/>
        </w:rPr>
        <w:t>delle prestazioni da garantire sul territorio nazional</w:t>
      </w:r>
      <w:r>
        <w:rPr>
          <w:rFonts w:ascii="DecimaWE Rg" w:hAnsi="DecimaWE Rg"/>
        </w:rPr>
        <w:t>e</w:t>
      </w:r>
      <w:r w:rsidR="008645F8">
        <w:rPr>
          <w:rFonts w:ascii="DecimaWE Rg" w:hAnsi="DecimaWE Rg"/>
        </w:rPr>
        <w:t>,</w:t>
      </w:r>
      <w:r>
        <w:rPr>
          <w:rFonts w:ascii="DecimaWE Rg" w:hAnsi="DecimaWE Rg"/>
        </w:rPr>
        <w:t xml:space="preserve"> ha determinato la necessità di coordinare e integrare la MIA con tali misure.</w:t>
      </w:r>
      <w:r w:rsidR="00CC4EBF">
        <w:rPr>
          <w:rFonts w:ascii="DecimaWE Rg" w:hAnsi="DecimaWE Rg"/>
        </w:rPr>
        <w:t xml:space="preserve"> In merito al coordinamento con il SIA si è già detto nei monitoraggi precedenti ai quali si rimanda; invece per quanto interessa il </w:t>
      </w:r>
      <w:r w:rsidR="00153295" w:rsidRPr="002028E1">
        <w:rPr>
          <w:rFonts w:ascii="DecimaWE Rg" w:hAnsi="DecimaWE Rg"/>
        </w:rPr>
        <w:t>presente monitoraggio</w:t>
      </w:r>
      <w:r w:rsidR="00CC4EBF">
        <w:rPr>
          <w:rFonts w:ascii="DecimaWE Rg" w:hAnsi="DecimaWE Rg"/>
        </w:rPr>
        <w:t xml:space="preserve"> si deve tener conto che l</w:t>
      </w:r>
      <w:r w:rsidR="00CC4EBF" w:rsidRPr="002028E1">
        <w:rPr>
          <w:rFonts w:ascii="DecimaWE Rg" w:hAnsi="DecimaWE Rg"/>
        </w:rPr>
        <w:t xml:space="preserve">’ultimo periodo di </w:t>
      </w:r>
      <w:r w:rsidR="00CC4EBF">
        <w:rPr>
          <w:rFonts w:ascii="DecimaWE Rg" w:hAnsi="DecimaWE Rg"/>
        </w:rPr>
        <w:t>applica</w:t>
      </w:r>
      <w:r w:rsidR="00CC4EBF" w:rsidRPr="002028E1">
        <w:rPr>
          <w:rFonts w:ascii="DecimaWE Rg" w:hAnsi="DecimaWE Rg"/>
        </w:rPr>
        <w:t>zione della MIA</w:t>
      </w:r>
      <w:r w:rsidR="00CC4EBF">
        <w:rPr>
          <w:rFonts w:ascii="DecimaWE Rg" w:hAnsi="DecimaWE Rg"/>
        </w:rPr>
        <w:t xml:space="preserve"> ha visto la mi</w:t>
      </w:r>
      <w:r w:rsidR="00DF4F32" w:rsidRPr="002028E1">
        <w:rPr>
          <w:rFonts w:ascii="DecimaWE Rg" w:hAnsi="DecimaWE Rg"/>
        </w:rPr>
        <w:t xml:space="preserve">sura coordinarsi </w:t>
      </w:r>
      <w:r w:rsidR="00153295" w:rsidRPr="002028E1">
        <w:rPr>
          <w:rFonts w:ascii="DecimaWE Rg" w:hAnsi="DecimaWE Rg"/>
        </w:rPr>
        <w:t>con il</w:t>
      </w:r>
      <w:r>
        <w:rPr>
          <w:rFonts w:ascii="DecimaWE Rg" w:hAnsi="DecimaWE Rg"/>
        </w:rPr>
        <w:t xml:space="preserve"> Reddito di Inclusione </w:t>
      </w:r>
      <w:r w:rsidR="00153295" w:rsidRPr="002028E1">
        <w:rPr>
          <w:rFonts w:ascii="DecimaWE Rg" w:hAnsi="DecimaWE Rg"/>
        </w:rPr>
        <w:t xml:space="preserve">nazionale </w:t>
      </w:r>
      <w:r>
        <w:rPr>
          <w:rFonts w:ascii="DecimaWE Rg" w:hAnsi="DecimaWE Rg"/>
        </w:rPr>
        <w:t>con le modalità stabilite</w:t>
      </w:r>
      <w:r w:rsidR="00DF4F32" w:rsidRPr="002028E1">
        <w:rPr>
          <w:rFonts w:ascii="DecimaWE Rg" w:hAnsi="DecimaWE Rg"/>
        </w:rPr>
        <w:t xml:space="preserve"> dalla </w:t>
      </w:r>
      <w:r>
        <w:rPr>
          <w:rFonts w:ascii="DecimaWE Rg" w:hAnsi="DecimaWE Rg"/>
        </w:rPr>
        <w:t>l</w:t>
      </w:r>
      <w:r w:rsidR="00DF4F32" w:rsidRPr="002028E1">
        <w:rPr>
          <w:rFonts w:ascii="DecimaWE Rg" w:hAnsi="DecimaWE Rg"/>
        </w:rPr>
        <w:t xml:space="preserve">egge regionale </w:t>
      </w:r>
      <w:r w:rsidR="00BE0B1D">
        <w:rPr>
          <w:rFonts w:ascii="DecimaWE Rg" w:hAnsi="DecimaWE Rg"/>
        </w:rPr>
        <w:t xml:space="preserve">n. </w:t>
      </w:r>
      <w:r w:rsidR="00DF4F32" w:rsidRPr="002028E1">
        <w:rPr>
          <w:rFonts w:ascii="DecimaWE Rg" w:hAnsi="DecimaWE Rg"/>
        </w:rPr>
        <w:t>35 del 6 novembre 2017</w:t>
      </w:r>
      <w:r w:rsidR="00D411C6">
        <w:rPr>
          <w:rFonts w:ascii="DecimaWE Rg" w:hAnsi="DecimaWE Rg"/>
        </w:rPr>
        <w:t>,</w:t>
      </w:r>
      <w:r>
        <w:rPr>
          <w:rFonts w:ascii="DecimaWE Rg" w:hAnsi="DecimaWE Rg"/>
        </w:rPr>
        <w:t xml:space="preserve"> che prevede per i </w:t>
      </w:r>
      <w:r w:rsidR="0083391F">
        <w:rPr>
          <w:rFonts w:ascii="DecimaWE Rg" w:hAnsi="DecimaWE Rg"/>
        </w:rPr>
        <w:t xml:space="preserve">nuclei </w:t>
      </w:r>
      <w:r>
        <w:rPr>
          <w:rFonts w:ascii="DecimaWE Rg" w:hAnsi="DecimaWE Rg"/>
        </w:rPr>
        <w:t xml:space="preserve">beneficiari di </w:t>
      </w:r>
      <w:proofErr w:type="spellStart"/>
      <w:r w:rsidR="00EC2880">
        <w:rPr>
          <w:rFonts w:ascii="DecimaWE Rg" w:hAnsi="DecimaWE Rg"/>
        </w:rPr>
        <w:t>ReI</w:t>
      </w:r>
      <w:proofErr w:type="spellEnd"/>
      <w:r>
        <w:rPr>
          <w:rFonts w:ascii="DecimaWE Rg" w:hAnsi="DecimaWE Rg"/>
        </w:rPr>
        <w:t xml:space="preserve"> </w:t>
      </w:r>
      <w:r w:rsidR="0083391F">
        <w:rPr>
          <w:rFonts w:ascii="DecimaWE Rg" w:hAnsi="DecimaWE Rg"/>
        </w:rPr>
        <w:t xml:space="preserve">con almeno un componente </w:t>
      </w:r>
      <w:r>
        <w:rPr>
          <w:rFonts w:ascii="DecimaWE Rg" w:hAnsi="DecimaWE Rg"/>
        </w:rPr>
        <w:t>in possesso del requisito di residenza in Regione da almeno 24 mesi</w:t>
      </w:r>
      <w:r w:rsidRPr="00C718D9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 xml:space="preserve">il riconoscimento, in sostituzione della MIA, di integrazioni regionali </w:t>
      </w:r>
      <w:r w:rsidR="006A0099">
        <w:rPr>
          <w:rFonts w:ascii="DecimaWE Rg" w:hAnsi="DecimaWE Rg"/>
        </w:rPr>
        <w:t>(</w:t>
      </w:r>
      <w:proofErr w:type="spellStart"/>
      <w:r w:rsidR="00EC2880">
        <w:rPr>
          <w:rFonts w:ascii="DecimaWE Rg" w:hAnsi="DecimaWE Rg"/>
        </w:rPr>
        <w:t>ReI</w:t>
      </w:r>
      <w:proofErr w:type="spellEnd"/>
      <w:r w:rsidR="006A0099">
        <w:rPr>
          <w:rFonts w:ascii="DecimaWE Rg" w:hAnsi="DecimaWE Rg"/>
        </w:rPr>
        <w:t xml:space="preserve"> FVG) </w:t>
      </w:r>
      <w:r>
        <w:rPr>
          <w:rFonts w:ascii="DecimaWE Rg" w:hAnsi="DecimaWE Rg"/>
        </w:rPr>
        <w:t>che si sommano agli importi erogati dallo Stato, di valore variabile in relazione al numero di minori presenti nel nucleo familiare</w:t>
      </w:r>
      <w:r w:rsidR="00C6271A">
        <w:rPr>
          <w:rStyle w:val="Rimandonotaapidipagina"/>
          <w:rFonts w:ascii="DecimaWE Rg" w:hAnsi="DecimaWE Rg"/>
        </w:rPr>
        <w:footnoteReference w:id="3"/>
      </w:r>
      <w:r>
        <w:rPr>
          <w:rFonts w:ascii="DecimaWE Rg" w:hAnsi="DecimaWE Rg"/>
        </w:rPr>
        <w:t>.</w:t>
      </w:r>
    </w:p>
    <w:p w:rsidR="00ED722F" w:rsidRDefault="00ED722F" w:rsidP="005C09EC">
      <w:pPr>
        <w:tabs>
          <w:tab w:val="left" w:pos="284"/>
        </w:tabs>
        <w:spacing w:after="0"/>
        <w:jc w:val="both"/>
        <w:rPr>
          <w:rFonts w:ascii="DecimaWE Rg" w:hAnsi="DecimaWE Rg"/>
        </w:rPr>
      </w:pPr>
      <w:r>
        <w:rPr>
          <w:rFonts w:ascii="DecimaWE Rg" w:hAnsi="DecimaWE Rg"/>
        </w:rPr>
        <w:t xml:space="preserve">Dal punto di vista procedurale pertanto, al fine di discernere il corretto trattamento delle domande e la disciplina loro applicabile, a partire dal 1 dicembre 2017 (data di avvio della raccolta delle domande di </w:t>
      </w:r>
      <w:proofErr w:type="spellStart"/>
      <w:r w:rsidR="00EC2880">
        <w:rPr>
          <w:rFonts w:ascii="DecimaWE Rg" w:hAnsi="DecimaWE Rg"/>
        </w:rPr>
        <w:t>ReI</w:t>
      </w:r>
      <w:proofErr w:type="spellEnd"/>
      <w:r>
        <w:rPr>
          <w:rFonts w:ascii="DecimaWE Rg" w:hAnsi="DecimaWE Rg"/>
        </w:rPr>
        <w:t xml:space="preserve">) per ogni nuova domanda di prima concessione o di rinnovo di MIA veniva verificato se </w:t>
      </w:r>
      <w:r w:rsidR="009C7637">
        <w:rPr>
          <w:rFonts w:ascii="DecimaWE Rg" w:hAnsi="DecimaWE Rg"/>
        </w:rPr>
        <w:t xml:space="preserve">il nucleo risultava </w:t>
      </w:r>
      <w:r>
        <w:rPr>
          <w:rFonts w:ascii="DecimaWE Rg" w:hAnsi="DecimaWE Rg"/>
        </w:rPr>
        <w:t xml:space="preserve">in possesso dei requisiti per beneficiare di </w:t>
      </w:r>
      <w:proofErr w:type="spellStart"/>
      <w:r w:rsidR="00EC2880">
        <w:rPr>
          <w:rFonts w:ascii="DecimaWE Rg" w:hAnsi="DecimaWE Rg"/>
        </w:rPr>
        <w:t>ReI</w:t>
      </w:r>
      <w:proofErr w:type="spellEnd"/>
      <w:r>
        <w:rPr>
          <w:rFonts w:ascii="DecimaWE Rg" w:hAnsi="DecimaWE Rg"/>
        </w:rPr>
        <w:t xml:space="preserve"> mediante preventivo caricamento della domanda nel portale INPS di gestione del </w:t>
      </w:r>
      <w:proofErr w:type="spellStart"/>
      <w:r w:rsidR="00EC2880">
        <w:rPr>
          <w:rFonts w:ascii="DecimaWE Rg" w:hAnsi="DecimaWE Rg"/>
        </w:rPr>
        <w:t>ReI</w:t>
      </w:r>
      <w:proofErr w:type="spellEnd"/>
      <w:r>
        <w:rPr>
          <w:rFonts w:ascii="DecimaWE Rg" w:hAnsi="DecimaWE Rg"/>
        </w:rPr>
        <w:t>. In base agli esiti di accoglimento o di respinta</w:t>
      </w:r>
      <w:r w:rsidR="009C7637">
        <w:rPr>
          <w:rFonts w:ascii="DecimaWE Rg" w:hAnsi="DecimaWE Rg"/>
        </w:rPr>
        <w:t xml:space="preserve">, </w:t>
      </w:r>
      <w:r>
        <w:rPr>
          <w:rFonts w:ascii="DecimaWE Rg" w:hAnsi="DecimaWE Rg"/>
        </w:rPr>
        <w:t xml:space="preserve">la domanda era </w:t>
      </w:r>
      <w:r w:rsidR="009C7637">
        <w:rPr>
          <w:rFonts w:ascii="DecimaWE Rg" w:hAnsi="DecimaWE Rg"/>
        </w:rPr>
        <w:t xml:space="preserve">poi </w:t>
      </w:r>
      <w:r>
        <w:rPr>
          <w:rFonts w:ascii="DecimaWE Rg" w:hAnsi="DecimaWE Rg"/>
        </w:rPr>
        <w:t xml:space="preserve">sottoposta alla disciplina </w:t>
      </w:r>
      <w:r w:rsidR="00BE0B1D">
        <w:rPr>
          <w:rFonts w:ascii="DecimaWE Rg" w:hAnsi="DecimaWE Rg"/>
        </w:rPr>
        <w:t xml:space="preserve">prevista dalla LR 35/2017 e quindi </w:t>
      </w:r>
      <w:r w:rsidR="009C7637">
        <w:rPr>
          <w:rFonts w:ascii="DecimaWE Rg" w:hAnsi="DecimaWE Rg"/>
        </w:rPr>
        <w:t xml:space="preserve">il nucleo </w:t>
      </w:r>
      <w:r w:rsidR="00BE0B1D">
        <w:rPr>
          <w:rFonts w:ascii="DecimaWE Rg" w:hAnsi="DecimaWE Rg"/>
        </w:rPr>
        <w:t xml:space="preserve">poteva beneficiare delle integrazioni regionali al </w:t>
      </w:r>
      <w:proofErr w:type="spellStart"/>
      <w:r w:rsidR="00EC2880">
        <w:rPr>
          <w:rFonts w:ascii="DecimaWE Rg" w:hAnsi="DecimaWE Rg"/>
        </w:rPr>
        <w:t>ReI</w:t>
      </w:r>
      <w:proofErr w:type="spellEnd"/>
      <w:r w:rsidR="00BE0B1D">
        <w:rPr>
          <w:rFonts w:ascii="DecimaWE Rg" w:hAnsi="DecimaWE Rg"/>
        </w:rPr>
        <w:t xml:space="preserve">, </w:t>
      </w:r>
      <w:r w:rsidR="00EE4C01">
        <w:rPr>
          <w:rFonts w:ascii="DecimaWE Rg" w:hAnsi="DecimaWE Rg"/>
        </w:rPr>
        <w:t>oppure</w:t>
      </w:r>
      <w:r w:rsidR="00BE0B1D">
        <w:rPr>
          <w:rFonts w:ascii="DecimaWE Rg" w:hAnsi="DecimaWE Rg"/>
        </w:rPr>
        <w:t xml:space="preserve">, in caso di respinta, poteva </w:t>
      </w:r>
      <w:r w:rsidR="00BE0B1D">
        <w:rPr>
          <w:rFonts w:ascii="DecimaWE Rg" w:hAnsi="DecimaWE Rg"/>
        </w:rPr>
        <w:lastRenderedPageBreak/>
        <w:t>beneficiare di MIA con le modalità di cui alla LR 15/2015 e del relativo regolamento attuativo</w:t>
      </w:r>
      <w:r w:rsidR="0085535F">
        <w:rPr>
          <w:rFonts w:ascii="DecimaWE Rg" w:hAnsi="DecimaWE Rg"/>
        </w:rPr>
        <w:t xml:space="preserve"> applicate fino all’avvento del </w:t>
      </w:r>
      <w:proofErr w:type="spellStart"/>
      <w:r w:rsidR="0085535F">
        <w:rPr>
          <w:rFonts w:ascii="DecimaWE Rg" w:hAnsi="DecimaWE Rg"/>
        </w:rPr>
        <w:t>ReI</w:t>
      </w:r>
      <w:proofErr w:type="spellEnd"/>
      <w:r w:rsidR="00BE0B1D">
        <w:rPr>
          <w:rFonts w:ascii="DecimaWE Rg" w:hAnsi="DecimaWE Rg"/>
        </w:rPr>
        <w:t>.</w:t>
      </w:r>
    </w:p>
    <w:p w:rsidR="004B2DA8" w:rsidRPr="0090110D" w:rsidRDefault="004B2DA8" w:rsidP="005C09EC">
      <w:pPr>
        <w:tabs>
          <w:tab w:val="left" w:pos="284"/>
        </w:tabs>
        <w:spacing w:after="0"/>
        <w:jc w:val="both"/>
        <w:rPr>
          <w:rFonts w:ascii="DecimaWE Rg" w:hAnsi="DecimaWE Rg"/>
        </w:rPr>
      </w:pPr>
      <w:r w:rsidRPr="0090110D">
        <w:rPr>
          <w:rFonts w:ascii="DecimaWE Rg" w:hAnsi="DecimaWE Rg"/>
        </w:rPr>
        <w:t>La r</w:t>
      </w:r>
      <w:r w:rsidR="00B61E1E">
        <w:rPr>
          <w:rFonts w:ascii="DecimaWE Rg" w:hAnsi="DecimaWE Rg"/>
        </w:rPr>
        <w:t>elazione in oggetto propone</w:t>
      </w:r>
      <w:r w:rsidR="002028E1">
        <w:rPr>
          <w:rFonts w:ascii="DecimaWE Rg" w:hAnsi="DecimaWE Rg"/>
        </w:rPr>
        <w:t xml:space="preserve"> pertanto</w:t>
      </w:r>
      <w:r w:rsidR="00B61E1E">
        <w:rPr>
          <w:rFonts w:ascii="DecimaWE Rg" w:hAnsi="DecimaWE Rg"/>
        </w:rPr>
        <w:t xml:space="preserve"> l’ultimo </w:t>
      </w:r>
      <w:r w:rsidRPr="0090110D">
        <w:rPr>
          <w:rFonts w:ascii="DecimaWE Rg" w:hAnsi="DecimaWE Rg"/>
        </w:rPr>
        <w:t>aggiornamento del monitoraggio sulla sperimentazione della MIA</w:t>
      </w:r>
      <w:r w:rsidRPr="0090110D">
        <w:rPr>
          <w:rStyle w:val="Rimandonotaapidipagina"/>
          <w:rFonts w:ascii="DecimaWE Rg" w:hAnsi="DecimaWE Rg"/>
        </w:rPr>
        <w:footnoteReference w:id="4"/>
      </w:r>
      <w:r w:rsidRPr="0090110D">
        <w:rPr>
          <w:rFonts w:ascii="DecimaWE Rg" w:hAnsi="DecimaWE Rg"/>
        </w:rPr>
        <w:t xml:space="preserve"> basandosi sui dati riferiti alle domande</w:t>
      </w:r>
      <w:r w:rsidR="002028E1">
        <w:rPr>
          <w:rFonts w:ascii="DecimaWE Rg" w:hAnsi="DecimaWE Rg"/>
        </w:rPr>
        <w:t xml:space="preserve"> MIA</w:t>
      </w:r>
      <w:r w:rsidRPr="0090110D">
        <w:rPr>
          <w:rFonts w:ascii="DecimaWE Rg" w:hAnsi="DecimaWE Rg"/>
        </w:rPr>
        <w:t xml:space="preserve"> prese</w:t>
      </w:r>
      <w:r w:rsidR="0090110D" w:rsidRPr="0090110D">
        <w:rPr>
          <w:rFonts w:ascii="DecimaWE Rg" w:hAnsi="DecimaWE Rg"/>
        </w:rPr>
        <w:t xml:space="preserve">ntate </w:t>
      </w:r>
      <w:r w:rsidR="00B61E1E">
        <w:rPr>
          <w:rFonts w:ascii="DecimaWE Rg" w:hAnsi="DecimaWE Rg"/>
        </w:rPr>
        <w:t>nel</w:t>
      </w:r>
      <w:r w:rsidR="000A11C8">
        <w:rPr>
          <w:rFonts w:ascii="DecimaWE Rg" w:hAnsi="DecimaWE Rg"/>
        </w:rPr>
        <w:t xml:space="preserve"> periodo dal 01/01/2018 al 22/10</w:t>
      </w:r>
      <w:r w:rsidR="0090110D" w:rsidRPr="0090110D">
        <w:rPr>
          <w:rFonts w:ascii="DecimaWE Rg" w:hAnsi="DecimaWE Rg"/>
        </w:rPr>
        <w:t>/2018</w:t>
      </w:r>
      <w:r w:rsidR="00875866">
        <w:rPr>
          <w:rFonts w:ascii="DecimaWE Rg" w:hAnsi="DecimaWE Rg"/>
        </w:rPr>
        <w:t xml:space="preserve">, </w:t>
      </w:r>
      <w:r w:rsidR="00875866" w:rsidRPr="002028E1">
        <w:rPr>
          <w:rFonts w:ascii="DecimaWE Rg" w:hAnsi="DecimaWE Rg"/>
        </w:rPr>
        <w:t>data di conclusione della misura</w:t>
      </w:r>
      <w:r w:rsidR="00B61E1E">
        <w:rPr>
          <w:rFonts w:ascii="DecimaWE Rg" w:hAnsi="DecimaWE Rg"/>
        </w:rPr>
        <w:t>, analizzando in coerenza con i monitoraggi precedenti</w:t>
      </w:r>
      <w:r w:rsidRPr="0090110D">
        <w:rPr>
          <w:rFonts w:ascii="DecimaWE Rg" w:hAnsi="DecimaWE Rg"/>
        </w:rPr>
        <w:t>:</w:t>
      </w:r>
    </w:p>
    <w:p w:rsidR="004B2DA8" w:rsidRPr="0090110D" w:rsidRDefault="00B61E1E" w:rsidP="005C09EC">
      <w:pPr>
        <w:pStyle w:val="Paragrafoelenco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DecimaWE Rg" w:hAnsi="DecimaWE Rg"/>
        </w:rPr>
      </w:pPr>
      <w:r>
        <w:rPr>
          <w:rFonts w:ascii="DecimaWE Rg" w:hAnsi="DecimaWE Rg"/>
        </w:rPr>
        <w:t>le domande</w:t>
      </w:r>
      <w:r w:rsidR="0090110D" w:rsidRPr="0090110D">
        <w:rPr>
          <w:rFonts w:ascii="DecimaWE Rg" w:hAnsi="DecimaWE Rg"/>
        </w:rPr>
        <w:t xml:space="preserve"> MIA</w:t>
      </w:r>
      <w:r w:rsidR="004B2DA8" w:rsidRPr="0090110D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 xml:space="preserve">accolte </w:t>
      </w:r>
      <w:r w:rsidR="004B2DA8" w:rsidRPr="0090110D">
        <w:rPr>
          <w:rFonts w:ascii="DecimaWE Rg" w:hAnsi="DecimaWE Rg"/>
        </w:rPr>
        <w:t>e il l</w:t>
      </w:r>
      <w:r w:rsidR="002028E1">
        <w:rPr>
          <w:rFonts w:ascii="DecimaWE Rg" w:hAnsi="DecimaWE Rg"/>
        </w:rPr>
        <w:t>oro andamento nel periodo</w:t>
      </w:r>
      <w:r w:rsidR="00E63795">
        <w:rPr>
          <w:rFonts w:ascii="DecimaWE Rg" w:hAnsi="DecimaWE Rg"/>
        </w:rPr>
        <w:t>;</w:t>
      </w:r>
    </w:p>
    <w:p w:rsidR="00534D68" w:rsidRDefault="004B2DA8" w:rsidP="005C09EC">
      <w:pPr>
        <w:pStyle w:val="Paragrafoelenco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DecimaWE Rg" w:hAnsi="DecimaWE Rg"/>
        </w:rPr>
      </w:pPr>
      <w:r w:rsidRPr="00534D68">
        <w:rPr>
          <w:rFonts w:ascii="DecimaWE Rg" w:hAnsi="DecimaWE Rg"/>
        </w:rPr>
        <w:t>i nuclei beneficiari e le loro caratteristiche</w:t>
      </w:r>
      <w:r w:rsidR="00885360">
        <w:rPr>
          <w:rFonts w:ascii="DecimaWE Rg" w:hAnsi="DecimaWE Rg"/>
        </w:rPr>
        <w:t>;</w:t>
      </w:r>
    </w:p>
    <w:p w:rsidR="004B2DA8" w:rsidRPr="00534D68" w:rsidRDefault="004B2DA8" w:rsidP="005C09EC">
      <w:pPr>
        <w:pStyle w:val="Paragrafoelenco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DecimaWE Rg" w:hAnsi="DecimaWE Rg"/>
        </w:rPr>
      </w:pPr>
      <w:r w:rsidRPr="00534D68">
        <w:rPr>
          <w:rFonts w:ascii="DecimaWE Rg" w:hAnsi="DecimaWE Rg"/>
        </w:rPr>
        <w:t xml:space="preserve">la presa in carico </w:t>
      </w:r>
      <w:r w:rsidR="00B61E1E" w:rsidRPr="00534D68">
        <w:rPr>
          <w:rFonts w:ascii="DecimaWE Rg" w:hAnsi="DecimaWE Rg"/>
        </w:rPr>
        <w:t xml:space="preserve">degli stessi nuclei beneficiari </w:t>
      </w:r>
      <w:r w:rsidRPr="00534D68">
        <w:rPr>
          <w:rFonts w:ascii="DecimaWE Rg" w:hAnsi="DecimaWE Rg"/>
        </w:rPr>
        <w:t xml:space="preserve">attraverso la stesura e la </w:t>
      </w:r>
      <w:r w:rsidR="00B2718E">
        <w:rPr>
          <w:rFonts w:ascii="DecimaWE Rg" w:hAnsi="DecimaWE Rg"/>
        </w:rPr>
        <w:t xml:space="preserve">stipula dei Patti di </w:t>
      </w:r>
      <w:r w:rsidR="004D1E2A">
        <w:rPr>
          <w:rFonts w:ascii="DecimaWE Rg" w:hAnsi="DecimaWE Rg"/>
        </w:rPr>
        <w:t>I</w:t>
      </w:r>
      <w:r w:rsidR="00B2718E">
        <w:rPr>
          <w:rFonts w:ascii="DecimaWE Rg" w:hAnsi="DecimaWE Rg"/>
        </w:rPr>
        <w:t>nclusione.</w:t>
      </w:r>
    </w:p>
    <w:p w:rsidR="004B2DA8" w:rsidRDefault="004B2DA8" w:rsidP="005C09EC">
      <w:pPr>
        <w:tabs>
          <w:tab w:val="left" w:pos="284"/>
        </w:tabs>
        <w:spacing w:after="0"/>
        <w:jc w:val="both"/>
        <w:rPr>
          <w:rFonts w:ascii="DecimaWE Rg" w:hAnsi="DecimaWE Rg"/>
        </w:rPr>
      </w:pPr>
      <w:r w:rsidRPr="0090110D">
        <w:rPr>
          <w:rFonts w:ascii="DecimaWE Rg" w:hAnsi="DecimaWE Rg"/>
        </w:rPr>
        <w:t>Verrà inoltre riportato un quadro più complessivo relativamente al totale dei nuclei beneficiari</w:t>
      </w:r>
      <w:r w:rsidR="00E531F4">
        <w:rPr>
          <w:rFonts w:ascii="DecimaWE Rg" w:hAnsi="DecimaWE Rg"/>
        </w:rPr>
        <w:t xml:space="preserve"> di MIA</w:t>
      </w:r>
      <w:r w:rsidRPr="0090110D">
        <w:rPr>
          <w:rFonts w:ascii="DecimaWE Rg" w:hAnsi="DecimaWE Rg"/>
        </w:rPr>
        <w:t xml:space="preserve"> raggiunti nell’intero periodo di sperimentazio</w:t>
      </w:r>
      <w:r w:rsidR="00DA3F5E">
        <w:rPr>
          <w:rFonts w:ascii="DecimaWE Rg" w:hAnsi="DecimaWE Rg"/>
        </w:rPr>
        <w:t>ne (ottobre 2015 – ottobre 2018</w:t>
      </w:r>
      <w:r w:rsidRPr="0090110D">
        <w:rPr>
          <w:rFonts w:ascii="DecimaWE Rg" w:hAnsi="DecimaWE Rg"/>
        </w:rPr>
        <w:t>).</w:t>
      </w:r>
    </w:p>
    <w:p w:rsidR="002028E1" w:rsidRDefault="002028E1" w:rsidP="002028E1">
      <w:pPr>
        <w:spacing w:after="0"/>
        <w:jc w:val="both"/>
        <w:rPr>
          <w:rFonts w:ascii="DecimaWE Rg" w:hAnsi="DecimaWE Rg"/>
        </w:rPr>
      </w:pPr>
      <w:r>
        <w:rPr>
          <w:rFonts w:ascii="DecimaWE Rg" w:hAnsi="DecimaWE Rg"/>
        </w:rPr>
        <w:t>Nel presente document</w:t>
      </w:r>
      <w:r w:rsidR="00E531F4">
        <w:rPr>
          <w:rFonts w:ascii="DecimaWE Rg" w:hAnsi="DecimaWE Rg"/>
        </w:rPr>
        <w:t xml:space="preserve">o verrà fatto solo un sommario </w:t>
      </w:r>
      <w:r w:rsidR="00E531F4" w:rsidRPr="0090110D">
        <w:rPr>
          <w:rFonts w:ascii="DecimaWE Rg" w:hAnsi="DecimaWE Rg"/>
        </w:rPr>
        <w:t>riferimento</w:t>
      </w:r>
      <w:r w:rsidR="00E531F4">
        <w:rPr>
          <w:rFonts w:ascii="DecimaWE Rg" w:hAnsi="DecimaWE Rg"/>
        </w:rPr>
        <w:t xml:space="preserve"> alle </w:t>
      </w:r>
      <w:r w:rsidR="00E531F4" w:rsidRPr="0090110D">
        <w:rPr>
          <w:rFonts w:ascii="DecimaWE Rg" w:hAnsi="DecimaWE Rg"/>
        </w:rPr>
        <w:t xml:space="preserve">domande </w:t>
      </w:r>
      <w:r w:rsidR="006A0099">
        <w:rPr>
          <w:rFonts w:ascii="DecimaWE Rg" w:hAnsi="DecimaWE Rg"/>
        </w:rPr>
        <w:t xml:space="preserve">che beneficiano di integrazioni regionali al </w:t>
      </w:r>
      <w:proofErr w:type="spellStart"/>
      <w:r w:rsidR="00EC2880">
        <w:rPr>
          <w:rFonts w:ascii="DecimaWE Rg" w:hAnsi="DecimaWE Rg"/>
        </w:rPr>
        <w:t>ReI</w:t>
      </w:r>
      <w:proofErr w:type="spellEnd"/>
      <w:r w:rsidR="006A0099">
        <w:rPr>
          <w:rFonts w:ascii="DecimaWE Rg" w:hAnsi="DecimaWE Rg"/>
        </w:rPr>
        <w:t xml:space="preserve"> (</w:t>
      </w:r>
      <w:proofErr w:type="spellStart"/>
      <w:r w:rsidR="00EC2880">
        <w:rPr>
          <w:rFonts w:ascii="DecimaWE Rg" w:hAnsi="DecimaWE Rg"/>
        </w:rPr>
        <w:t>ReI</w:t>
      </w:r>
      <w:proofErr w:type="spellEnd"/>
      <w:r w:rsidR="00E531F4" w:rsidRPr="0090110D">
        <w:rPr>
          <w:rFonts w:ascii="DecimaWE Rg" w:hAnsi="DecimaWE Rg"/>
        </w:rPr>
        <w:t xml:space="preserve"> FVG</w:t>
      </w:r>
      <w:r w:rsidR="006A0099">
        <w:rPr>
          <w:rFonts w:ascii="DecimaWE Rg" w:hAnsi="DecimaWE Rg"/>
        </w:rPr>
        <w:t>)</w:t>
      </w:r>
      <w:r w:rsidR="00E531F4">
        <w:rPr>
          <w:rFonts w:ascii="DecimaWE Rg" w:hAnsi="DecimaWE Rg"/>
        </w:rPr>
        <w:t>,</w:t>
      </w:r>
      <w:r w:rsidR="00E531F4" w:rsidRPr="0090110D">
        <w:rPr>
          <w:rFonts w:ascii="DecimaWE Rg" w:hAnsi="DecimaWE Rg"/>
        </w:rPr>
        <w:t xml:space="preserve"> che saranno oggetto di specifico monitoraggio</w:t>
      </w:r>
      <w:r w:rsidR="00E531F4">
        <w:rPr>
          <w:rFonts w:ascii="DecimaWE Rg" w:hAnsi="DecimaWE Rg"/>
        </w:rPr>
        <w:t xml:space="preserve">, mentre rimangono escluse le </w:t>
      </w:r>
      <w:r w:rsidRPr="0090110D">
        <w:rPr>
          <w:rFonts w:ascii="DecimaWE Rg" w:hAnsi="DecimaWE Rg"/>
        </w:rPr>
        <w:t xml:space="preserve">domande </w:t>
      </w:r>
      <w:r w:rsidR="006A0099">
        <w:rPr>
          <w:rFonts w:ascii="DecimaWE Rg" w:hAnsi="DecimaWE Rg"/>
        </w:rPr>
        <w:t xml:space="preserve">che hanno beneficiato </w:t>
      </w:r>
      <w:r w:rsidR="006A69C3">
        <w:rPr>
          <w:rFonts w:ascii="DecimaWE Rg" w:hAnsi="DecimaWE Rg"/>
        </w:rPr>
        <w:t>unicamente d</w:t>
      </w:r>
      <w:r w:rsidR="00D91FCB">
        <w:rPr>
          <w:rFonts w:ascii="DecimaWE Rg" w:hAnsi="DecimaWE Rg"/>
        </w:rPr>
        <w:t>i</w:t>
      </w:r>
      <w:r w:rsidR="006A69C3">
        <w:rPr>
          <w:rFonts w:ascii="DecimaWE Rg" w:hAnsi="DecimaWE Rg"/>
        </w:rPr>
        <w:t xml:space="preserve"> </w:t>
      </w:r>
      <w:proofErr w:type="spellStart"/>
      <w:r w:rsidR="00EC2880">
        <w:rPr>
          <w:rFonts w:ascii="DecimaWE Rg" w:hAnsi="DecimaWE Rg"/>
        </w:rPr>
        <w:t>ReI</w:t>
      </w:r>
      <w:proofErr w:type="spellEnd"/>
      <w:r w:rsidR="00E531F4">
        <w:rPr>
          <w:rFonts w:ascii="DecimaWE Rg" w:hAnsi="DecimaWE Rg"/>
        </w:rPr>
        <w:t xml:space="preserve"> </w:t>
      </w:r>
      <w:r w:rsidR="006A0099">
        <w:rPr>
          <w:rFonts w:ascii="DecimaWE Rg" w:hAnsi="DecimaWE Rg"/>
        </w:rPr>
        <w:t xml:space="preserve">(in quanto </w:t>
      </w:r>
      <w:r w:rsidR="006A69C3">
        <w:rPr>
          <w:rFonts w:ascii="DecimaWE Rg" w:hAnsi="DecimaWE Rg"/>
        </w:rPr>
        <w:t xml:space="preserve">il richiedente è </w:t>
      </w:r>
      <w:r w:rsidR="006A0099">
        <w:rPr>
          <w:rFonts w:ascii="DecimaWE Rg" w:hAnsi="DecimaWE Rg"/>
        </w:rPr>
        <w:t>priv</w:t>
      </w:r>
      <w:r w:rsidR="006A69C3">
        <w:rPr>
          <w:rFonts w:ascii="DecimaWE Rg" w:hAnsi="DecimaWE Rg"/>
        </w:rPr>
        <w:t>o</w:t>
      </w:r>
      <w:r w:rsidR="006A0099">
        <w:rPr>
          <w:rFonts w:ascii="DecimaWE Rg" w:hAnsi="DecimaWE Rg"/>
        </w:rPr>
        <w:t xml:space="preserve"> del requisito di residenza in Regione da almeno 24 mesi) </w:t>
      </w:r>
      <w:r w:rsidR="00E531F4">
        <w:rPr>
          <w:rFonts w:ascii="DecimaWE Rg" w:hAnsi="DecimaWE Rg"/>
        </w:rPr>
        <w:t>che,</w:t>
      </w:r>
      <w:r w:rsidRPr="0090110D">
        <w:rPr>
          <w:rFonts w:ascii="DecimaWE Rg" w:hAnsi="DecimaWE Rg"/>
        </w:rPr>
        <w:t xml:space="preserve"> essendo esclusivamente a carico dello Stato</w:t>
      </w:r>
      <w:r w:rsidR="00E531F4">
        <w:rPr>
          <w:rFonts w:ascii="DecimaWE Rg" w:hAnsi="DecimaWE Rg"/>
        </w:rPr>
        <w:t>, sono gestite direttamente da INPS.</w:t>
      </w:r>
    </w:p>
    <w:p w:rsidR="004B2DA8" w:rsidRDefault="004B2DA8" w:rsidP="005C09EC">
      <w:pPr>
        <w:spacing w:after="0"/>
        <w:jc w:val="both"/>
        <w:rPr>
          <w:rFonts w:ascii="DecimaWE Rg" w:hAnsi="DecimaWE Rg"/>
        </w:rPr>
      </w:pPr>
      <w:r w:rsidRPr="0090110D">
        <w:rPr>
          <w:rFonts w:ascii="DecimaWE Rg" w:hAnsi="DecimaWE Rg"/>
        </w:rPr>
        <w:t xml:space="preserve">Si ricorda, come nota metodologica, che i dati qui analizzati </w:t>
      </w:r>
      <w:r w:rsidR="00E531F4">
        <w:rPr>
          <w:rFonts w:ascii="DecimaWE Rg" w:hAnsi="DecimaWE Rg"/>
        </w:rPr>
        <w:t xml:space="preserve">non sono </w:t>
      </w:r>
      <w:r w:rsidR="00E531F4" w:rsidRPr="0090110D">
        <w:rPr>
          <w:rFonts w:ascii="DecimaWE Rg" w:hAnsi="DecimaWE Rg"/>
        </w:rPr>
        <w:t xml:space="preserve">dati statistici, </w:t>
      </w:r>
      <w:r w:rsidR="000A11C8">
        <w:rPr>
          <w:rFonts w:ascii="DecimaWE Rg" w:hAnsi="DecimaWE Rg"/>
        </w:rPr>
        <w:t xml:space="preserve">ma </w:t>
      </w:r>
      <w:r w:rsidR="00E531F4" w:rsidRPr="0090110D">
        <w:rPr>
          <w:rFonts w:ascii="DecimaWE Rg" w:hAnsi="DecimaWE Rg"/>
        </w:rPr>
        <w:t>dati di natura amministrativa</w:t>
      </w:r>
      <w:r w:rsidR="00E531F4">
        <w:rPr>
          <w:rFonts w:ascii="DecimaWE Rg" w:hAnsi="DecimaWE Rg"/>
        </w:rPr>
        <w:t xml:space="preserve">, </w:t>
      </w:r>
      <w:r w:rsidRPr="0090110D">
        <w:rPr>
          <w:rFonts w:ascii="DecimaWE Rg" w:hAnsi="DecimaWE Rg"/>
        </w:rPr>
        <w:t>tratti da software (SIMIA</w:t>
      </w:r>
      <w:r w:rsidRPr="0090110D">
        <w:rPr>
          <w:rStyle w:val="Rimandonotaapidipagina"/>
          <w:rFonts w:ascii="DecimaWE Rg" w:hAnsi="DecimaWE Rg"/>
        </w:rPr>
        <w:footnoteReference w:id="5"/>
      </w:r>
      <w:r w:rsidRPr="0090110D">
        <w:rPr>
          <w:rFonts w:ascii="DecimaWE Rg" w:hAnsi="DecimaWE Rg"/>
        </w:rPr>
        <w:t>, SIMIA CRM</w:t>
      </w:r>
      <w:r w:rsidRPr="0090110D">
        <w:rPr>
          <w:rStyle w:val="Rimandonotaapidipagina"/>
          <w:rFonts w:ascii="DecimaWE Rg" w:hAnsi="DecimaWE Rg"/>
        </w:rPr>
        <w:footnoteReference w:id="6"/>
      </w:r>
      <w:r w:rsidRPr="0090110D">
        <w:rPr>
          <w:rFonts w:ascii="DecimaWE Rg" w:hAnsi="DecimaWE Rg"/>
        </w:rPr>
        <w:t xml:space="preserve">) nati con funzione amministrativa/gestionale, che non registrano “lo storico” e risultano particolarmente sensibili alle modalità e tempistiche di estrazione delle informazioni. </w:t>
      </w:r>
    </w:p>
    <w:p w:rsidR="004B2DA8" w:rsidRPr="0094643A" w:rsidRDefault="004B2DA8" w:rsidP="004F280B">
      <w:pPr>
        <w:pStyle w:val="Titolo1"/>
        <w:tabs>
          <w:tab w:val="left" w:pos="284"/>
        </w:tabs>
        <w:rPr>
          <w:rFonts w:ascii="DecimaWE Rg" w:hAnsi="DecimaWE Rg"/>
          <w:color w:val="000000" w:themeColor="text1"/>
          <w:sz w:val="22"/>
          <w:szCs w:val="22"/>
        </w:rPr>
      </w:pPr>
      <w:bookmarkStart w:id="2" w:name="_Toc9600346"/>
      <w:r w:rsidRPr="0094643A">
        <w:rPr>
          <w:rFonts w:ascii="DecimaWE Rg" w:hAnsi="DecimaWE Rg"/>
          <w:color w:val="000000" w:themeColor="text1"/>
          <w:sz w:val="22"/>
          <w:szCs w:val="22"/>
        </w:rPr>
        <w:t xml:space="preserve">1. </w:t>
      </w:r>
      <w:r w:rsidRPr="0094643A">
        <w:rPr>
          <w:rFonts w:ascii="DecimaWE Rg" w:hAnsi="DecimaWE Rg"/>
          <w:color w:val="000000" w:themeColor="text1"/>
          <w:sz w:val="22"/>
          <w:szCs w:val="22"/>
        </w:rPr>
        <w:tab/>
        <w:t>Le domande accolte e il loro andamento.</w:t>
      </w:r>
      <w:bookmarkEnd w:id="2"/>
    </w:p>
    <w:p w:rsidR="004B2DA8" w:rsidRPr="00344A13" w:rsidRDefault="004B2DA8" w:rsidP="004F280B">
      <w:pPr>
        <w:pStyle w:val="Paragrafoelenco"/>
        <w:tabs>
          <w:tab w:val="left" w:pos="284"/>
        </w:tabs>
        <w:spacing w:after="0"/>
        <w:rPr>
          <w:rFonts w:ascii="DecimaWE Rg" w:hAnsi="DecimaWE Rg"/>
          <w:b/>
        </w:rPr>
      </w:pPr>
    </w:p>
    <w:p w:rsidR="004B2DA8" w:rsidRPr="002D7123" w:rsidRDefault="004B2DA8" w:rsidP="004F280B">
      <w:pPr>
        <w:tabs>
          <w:tab w:val="left" w:pos="284"/>
        </w:tabs>
        <w:spacing w:after="0"/>
        <w:jc w:val="both"/>
        <w:rPr>
          <w:rFonts w:ascii="DecimaWE Rg" w:hAnsi="DecimaWE Rg"/>
        </w:rPr>
      </w:pPr>
      <w:r w:rsidRPr="00344A13">
        <w:rPr>
          <w:rFonts w:ascii="DecimaWE Rg" w:hAnsi="DecimaWE Rg"/>
        </w:rPr>
        <w:t xml:space="preserve">Complessivamente le </w:t>
      </w:r>
      <w:r w:rsidRPr="00F30BAD">
        <w:rPr>
          <w:rFonts w:ascii="DecimaWE Rg" w:hAnsi="DecimaWE Rg"/>
          <w:b/>
        </w:rPr>
        <w:t>domande</w:t>
      </w:r>
      <w:r w:rsidR="00AE3010">
        <w:rPr>
          <w:rFonts w:ascii="DecimaWE Rg" w:hAnsi="DecimaWE Rg"/>
          <w:b/>
        </w:rPr>
        <w:t xml:space="preserve"> MIA</w:t>
      </w:r>
      <w:r w:rsidRPr="00F30BAD">
        <w:rPr>
          <w:rFonts w:ascii="DecimaWE Rg" w:hAnsi="DecimaWE Rg"/>
          <w:b/>
        </w:rPr>
        <w:t xml:space="preserve"> presentate e reg</w:t>
      </w:r>
      <w:r w:rsidR="00C36FDB">
        <w:rPr>
          <w:rFonts w:ascii="DecimaWE Rg" w:hAnsi="DecimaWE Rg"/>
          <w:b/>
        </w:rPr>
        <w:t>istrate a sistema</w:t>
      </w:r>
      <w:r w:rsidR="00444C78">
        <w:rPr>
          <w:rFonts w:ascii="DecimaWE Rg" w:hAnsi="DecimaWE Rg"/>
          <w:b/>
        </w:rPr>
        <w:t xml:space="preserve"> nell’ultimo periodo di sperimentazione</w:t>
      </w:r>
      <w:r w:rsidR="00C36FDB">
        <w:rPr>
          <w:rFonts w:ascii="DecimaWE Rg" w:hAnsi="DecimaWE Rg"/>
          <w:b/>
        </w:rPr>
        <w:t xml:space="preserve"> dal 01/01/2018</w:t>
      </w:r>
      <w:r w:rsidR="00AE3010">
        <w:rPr>
          <w:rFonts w:ascii="DecimaWE Rg" w:hAnsi="DecimaWE Rg"/>
          <w:b/>
        </w:rPr>
        <w:t xml:space="preserve"> al 22</w:t>
      </w:r>
      <w:r w:rsidR="00C36FDB">
        <w:rPr>
          <w:rFonts w:ascii="DecimaWE Rg" w:hAnsi="DecimaWE Rg"/>
          <w:b/>
        </w:rPr>
        <w:t>/</w:t>
      </w:r>
      <w:r w:rsidR="00AE3010">
        <w:rPr>
          <w:rFonts w:ascii="DecimaWE Rg" w:hAnsi="DecimaWE Rg"/>
          <w:b/>
        </w:rPr>
        <w:t>10</w:t>
      </w:r>
      <w:r w:rsidR="00C36FDB">
        <w:rPr>
          <w:rFonts w:ascii="DecimaWE Rg" w:hAnsi="DecimaWE Rg"/>
          <w:b/>
        </w:rPr>
        <w:t>/2018</w:t>
      </w:r>
      <w:r w:rsidR="00AE3010">
        <w:rPr>
          <w:rFonts w:ascii="DecimaWE Rg" w:hAnsi="DecimaWE Rg"/>
          <w:b/>
        </w:rPr>
        <w:t xml:space="preserve"> sono state 2</w:t>
      </w:r>
      <w:r w:rsidR="00444C78">
        <w:rPr>
          <w:rFonts w:ascii="DecimaWE Rg" w:hAnsi="DecimaWE Rg"/>
          <w:b/>
        </w:rPr>
        <w:t>.</w:t>
      </w:r>
      <w:r w:rsidR="00AE3010">
        <w:rPr>
          <w:rFonts w:ascii="DecimaWE Rg" w:hAnsi="DecimaWE Rg"/>
          <w:b/>
        </w:rPr>
        <w:t>647</w:t>
      </w:r>
      <w:r w:rsidR="002D7123">
        <w:rPr>
          <w:rFonts w:ascii="DecimaWE Rg" w:hAnsi="DecimaWE Rg"/>
        </w:rPr>
        <w:t xml:space="preserve">, </w:t>
      </w:r>
      <w:r w:rsidR="00105671">
        <w:rPr>
          <w:rFonts w:ascii="DecimaWE Rg" w:hAnsi="DecimaWE Rg"/>
        </w:rPr>
        <w:t>meno del 40%</w:t>
      </w:r>
      <w:r w:rsidRPr="002D7123">
        <w:rPr>
          <w:rFonts w:ascii="DecimaWE Rg" w:hAnsi="DecimaWE Rg"/>
        </w:rPr>
        <w:t xml:space="preserve"> </w:t>
      </w:r>
      <w:r w:rsidR="00105671" w:rsidRPr="002D7123">
        <w:rPr>
          <w:rFonts w:ascii="DecimaWE Rg" w:hAnsi="DecimaWE Rg"/>
        </w:rPr>
        <w:t xml:space="preserve">di queste </w:t>
      </w:r>
      <w:r w:rsidRPr="002D7123">
        <w:rPr>
          <w:rFonts w:ascii="DecimaWE Rg" w:hAnsi="DecimaWE Rg"/>
        </w:rPr>
        <w:t>risultano domande di rinnovo della misura</w:t>
      </w:r>
      <w:r>
        <w:rPr>
          <w:rStyle w:val="Rimandonotaapidipagina"/>
          <w:rFonts w:ascii="DecimaWE Rg" w:hAnsi="DecimaWE Rg"/>
        </w:rPr>
        <w:footnoteReference w:id="7"/>
      </w:r>
      <w:r w:rsidRPr="002D7123">
        <w:rPr>
          <w:rFonts w:ascii="DecimaWE Rg" w:hAnsi="DecimaWE Rg"/>
        </w:rPr>
        <w:t>;</w:t>
      </w:r>
    </w:p>
    <w:p w:rsidR="004B2DA8" w:rsidRPr="004F1783" w:rsidRDefault="00444C78" w:rsidP="00864514">
      <w:pPr>
        <w:pStyle w:val="Paragrafoelenco"/>
        <w:tabs>
          <w:tab w:val="left" w:pos="284"/>
        </w:tabs>
        <w:spacing w:after="0"/>
        <w:ind w:left="0"/>
        <w:jc w:val="both"/>
        <w:rPr>
          <w:rFonts w:ascii="DecimaWE Rg" w:hAnsi="DecimaWE Rg"/>
        </w:rPr>
      </w:pPr>
      <w:r>
        <w:rPr>
          <w:rFonts w:ascii="DecimaWE Rg" w:hAnsi="DecimaWE Rg"/>
        </w:rPr>
        <w:t>Alle</w:t>
      </w:r>
      <w:r w:rsidR="00864514" w:rsidRPr="002D7123">
        <w:rPr>
          <w:rFonts w:ascii="DecimaWE Rg" w:hAnsi="DecimaWE Rg"/>
        </w:rPr>
        <w:t xml:space="preserve"> </w:t>
      </w:r>
      <w:r w:rsidR="00F03EB3" w:rsidRPr="002D7123">
        <w:rPr>
          <w:rFonts w:ascii="DecimaWE Rg" w:hAnsi="DecimaWE Rg"/>
        </w:rPr>
        <w:t xml:space="preserve">domande </w:t>
      </w:r>
      <w:r>
        <w:rPr>
          <w:rFonts w:ascii="DecimaWE Rg" w:hAnsi="DecimaWE Rg"/>
        </w:rPr>
        <w:t xml:space="preserve">di MIA </w:t>
      </w:r>
      <w:r w:rsidR="002D7123" w:rsidRPr="002D7123">
        <w:rPr>
          <w:rFonts w:ascii="DecimaWE Rg" w:hAnsi="DecimaWE Rg"/>
        </w:rPr>
        <w:t>si aggiungono</w:t>
      </w:r>
      <w:r>
        <w:rPr>
          <w:rFonts w:ascii="DecimaWE Rg" w:hAnsi="DecimaWE Rg"/>
        </w:rPr>
        <w:t>,</w:t>
      </w:r>
      <w:r w:rsidR="002D7123" w:rsidRPr="002D7123">
        <w:rPr>
          <w:rFonts w:ascii="DecimaWE Rg" w:hAnsi="DecimaWE Rg"/>
        </w:rPr>
        <w:t xml:space="preserve"> nello stesso</w:t>
      </w:r>
      <w:r w:rsidR="00864514" w:rsidRPr="002D7123">
        <w:rPr>
          <w:rFonts w:ascii="DecimaWE Rg" w:hAnsi="DecimaWE Rg"/>
        </w:rPr>
        <w:t xml:space="preserve"> </w:t>
      </w:r>
      <w:r w:rsidR="002D7123" w:rsidRPr="002D7123">
        <w:rPr>
          <w:rFonts w:ascii="DecimaWE Rg" w:hAnsi="DecimaWE Rg"/>
        </w:rPr>
        <w:t>periodo (dal 01/01/2018 al 31/1o/2018)</w:t>
      </w:r>
      <w:r>
        <w:rPr>
          <w:rFonts w:ascii="DecimaWE Rg" w:hAnsi="DecimaWE Rg"/>
        </w:rPr>
        <w:t>,</w:t>
      </w:r>
      <w:r w:rsidR="002D7123" w:rsidRPr="002D7123">
        <w:rPr>
          <w:rFonts w:ascii="DecimaWE Rg" w:hAnsi="DecimaWE Rg"/>
        </w:rPr>
        <w:t xml:space="preserve"> 1</w:t>
      </w:r>
      <w:r>
        <w:rPr>
          <w:rFonts w:ascii="DecimaWE Rg" w:hAnsi="DecimaWE Rg"/>
        </w:rPr>
        <w:t>.</w:t>
      </w:r>
      <w:r w:rsidR="002D7123" w:rsidRPr="002D7123">
        <w:rPr>
          <w:rFonts w:ascii="DecimaWE Rg" w:hAnsi="DecimaWE Rg"/>
        </w:rPr>
        <w:t>488</w:t>
      </w:r>
      <w:r w:rsidR="00864514" w:rsidRPr="002D7123">
        <w:rPr>
          <w:rFonts w:ascii="DecimaWE Rg" w:hAnsi="DecimaWE Rg"/>
        </w:rPr>
        <w:t xml:space="preserve"> </w:t>
      </w:r>
      <w:r w:rsidR="004B2DA8" w:rsidRPr="002D7123">
        <w:rPr>
          <w:rFonts w:ascii="DecimaWE Rg" w:hAnsi="DecimaWE Rg"/>
        </w:rPr>
        <w:t xml:space="preserve">domande di Reddito di </w:t>
      </w:r>
      <w:r w:rsidR="002D7123" w:rsidRPr="002D7123">
        <w:rPr>
          <w:rFonts w:ascii="DecimaWE Rg" w:hAnsi="DecimaWE Rg"/>
        </w:rPr>
        <w:t>Inclusione</w:t>
      </w:r>
      <w:r w:rsidR="004B2DA8" w:rsidRPr="002D7123">
        <w:rPr>
          <w:rFonts w:ascii="DecimaWE Rg" w:hAnsi="DecimaWE Rg"/>
        </w:rPr>
        <w:t xml:space="preserve"> con richiesta di riconoscimento delle integrazioni regionali previste dalla LR 35/2017 (</w:t>
      </w:r>
      <w:proofErr w:type="spellStart"/>
      <w:r w:rsidR="00EC2880">
        <w:rPr>
          <w:rFonts w:ascii="DecimaWE Rg" w:hAnsi="DecimaWE Rg"/>
        </w:rPr>
        <w:t>R</w:t>
      </w:r>
      <w:r w:rsidR="00695A1A">
        <w:rPr>
          <w:rFonts w:ascii="DecimaWE Rg" w:hAnsi="DecimaWE Rg"/>
        </w:rPr>
        <w:t>e</w:t>
      </w:r>
      <w:r w:rsidR="00EC2880">
        <w:rPr>
          <w:rFonts w:ascii="DecimaWE Rg" w:hAnsi="DecimaWE Rg"/>
        </w:rPr>
        <w:t>I</w:t>
      </w:r>
      <w:proofErr w:type="spellEnd"/>
      <w:r w:rsidR="004B2DA8" w:rsidRPr="002D7123">
        <w:rPr>
          <w:rFonts w:ascii="DecimaWE Rg" w:hAnsi="DecimaWE Rg"/>
        </w:rPr>
        <w:t xml:space="preserve"> FVG).</w:t>
      </w:r>
    </w:p>
    <w:p w:rsidR="007F4948" w:rsidRDefault="004B2DA8" w:rsidP="00444C78">
      <w:pPr>
        <w:spacing w:after="0"/>
        <w:jc w:val="both"/>
        <w:rPr>
          <w:rFonts w:ascii="DecimaWE Rg" w:hAnsi="DecimaWE Rg"/>
        </w:rPr>
      </w:pPr>
      <w:r w:rsidRPr="001F4E2D">
        <w:rPr>
          <w:rFonts w:ascii="DecimaWE Rg" w:hAnsi="DecimaWE Rg"/>
        </w:rPr>
        <w:t>Nel complesso, le</w:t>
      </w:r>
      <w:r w:rsidRPr="00344A13">
        <w:rPr>
          <w:rFonts w:ascii="DecimaWE Rg" w:hAnsi="DecimaWE Rg"/>
        </w:rPr>
        <w:t xml:space="preserve"> </w:t>
      </w:r>
      <w:r w:rsidRPr="004F3A46">
        <w:rPr>
          <w:rFonts w:ascii="DecimaWE Rg" w:hAnsi="DecimaWE Rg"/>
        </w:rPr>
        <w:t>d</w:t>
      </w:r>
      <w:r w:rsidR="00F03EB3">
        <w:rPr>
          <w:rFonts w:ascii="DecimaWE Rg" w:hAnsi="DecimaWE Rg"/>
        </w:rPr>
        <w:t>omande</w:t>
      </w:r>
      <w:r w:rsidRPr="004C4797">
        <w:rPr>
          <w:rFonts w:ascii="DecimaWE Rg" w:hAnsi="DecimaWE Rg"/>
        </w:rPr>
        <w:t xml:space="preserve"> </w:t>
      </w:r>
      <w:r w:rsidR="00444C78">
        <w:rPr>
          <w:rFonts w:ascii="DecimaWE Rg" w:hAnsi="DecimaWE Rg"/>
        </w:rPr>
        <w:t xml:space="preserve">MIA e </w:t>
      </w:r>
      <w:proofErr w:type="spellStart"/>
      <w:r w:rsidR="00EC2880">
        <w:rPr>
          <w:rFonts w:ascii="DecimaWE Rg" w:hAnsi="DecimaWE Rg"/>
        </w:rPr>
        <w:t>ReI</w:t>
      </w:r>
      <w:proofErr w:type="spellEnd"/>
      <w:r w:rsidR="00444C78">
        <w:rPr>
          <w:rFonts w:ascii="DecimaWE Rg" w:hAnsi="DecimaWE Rg"/>
        </w:rPr>
        <w:t xml:space="preserve"> FVG </w:t>
      </w:r>
      <w:r w:rsidR="00BB5CB9">
        <w:rPr>
          <w:rFonts w:ascii="DecimaWE Rg" w:hAnsi="DecimaWE Rg"/>
        </w:rPr>
        <w:t>registrate</w:t>
      </w:r>
      <w:r w:rsidR="00444C78">
        <w:rPr>
          <w:rFonts w:ascii="DecimaWE Rg" w:hAnsi="DecimaWE Rg"/>
        </w:rPr>
        <w:t xml:space="preserve"> a sistema da gennaio a ottobre</w:t>
      </w:r>
      <w:r w:rsidR="00BB5CB9">
        <w:rPr>
          <w:rFonts w:ascii="DecimaWE Rg" w:hAnsi="DecimaWE Rg"/>
        </w:rPr>
        <w:t xml:space="preserve"> 2018</w:t>
      </w:r>
      <w:r w:rsidR="00444C78">
        <w:rPr>
          <w:rFonts w:ascii="DecimaWE Rg" w:hAnsi="DecimaWE Rg"/>
        </w:rPr>
        <w:t xml:space="preserve"> sono state 4.135 e </w:t>
      </w:r>
      <w:r w:rsidRPr="004F3A46">
        <w:rPr>
          <w:rFonts w:ascii="DecimaWE Rg" w:hAnsi="DecimaWE Rg"/>
        </w:rPr>
        <w:t>presentano un andamento (Graf. 1) che evidenzia un maggior afflusso</w:t>
      </w:r>
      <w:r w:rsidR="00BB5CB9">
        <w:rPr>
          <w:rFonts w:ascii="DecimaWE Rg" w:hAnsi="DecimaWE Rg"/>
        </w:rPr>
        <w:t xml:space="preserve"> di MIA</w:t>
      </w:r>
      <w:r w:rsidRPr="004F3A46">
        <w:rPr>
          <w:rFonts w:ascii="DecimaWE Rg" w:hAnsi="DecimaWE Rg"/>
        </w:rPr>
        <w:t xml:space="preserve"> nei mesi compresi tra febbraio e maggio</w:t>
      </w:r>
      <w:r w:rsidR="001E492B">
        <w:rPr>
          <w:rFonts w:ascii="DecimaWE Rg" w:hAnsi="DecimaWE Rg"/>
        </w:rPr>
        <w:t xml:space="preserve"> secondo una tendenza già emersa nelle annualità precedenti</w:t>
      </w:r>
      <w:r w:rsidR="00BB5CB9">
        <w:rPr>
          <w:rFonts w:ascii="DecimaWE Rg" w:hAnsi="DecimaWE Rg"/>
        </w:rPr>
        <w:t>,</w:t>
      </w:r>
      <w:r w:rsidR="00BB5CB9" w:rsidRPr="00BB5CB9">
        <w:rPr>
          <w:rFonts w:ascii="DecimaWE Rg" w:hAnsi="DecimaWE Rg"/>
        </w:rPr>
        <w:t xml:space="preserve"> </w:t>
      </w:r>
      <w:r w:rsidR="00BB5CB9" w:rsidRPr="004F3A46">
        <w:rPr>
          <w:rFonts w:ascii="DecimaWE Rg" w:hAnsi="DecimaWE Rg"/>
        </w:rPr>
        <w:t xml:space="preserve">probabilmente per l’effetto </w:t>
      </w:r>
      <w:r w:rsidR="001E492B">
        <w:rPr>
          <w:rFonts w:ascii="DecimaWE Rg" w:hAnsi="DecimaWE Rg"/>
        </w:rPr>
        <w:t xml:space="preserve">dei tempi necessari per le persone di dotarsi di un ISEE aggiornato stante la </w:t>
      </w:r>
      <w:r w:rsidR="00BB5CB9" w:rsidRPr="001F4E2D">
        <w:rPr>
          <w:rFonts w:ascii="DecimaWE Rg" w:hAnsi="DecimaWE Rg"/>
        </w:rPr>
        <w:t>scadenza unificata al 15</w:t>
      </w:r>
      <w:r w:rsidR="00BB5CB9" w:rsidRPr="004F3A46">
        <w:rPr>
          <w:rFonts w:ascii="DecimaWE Rg" w:hAnsi="DecimaWE Rg"/>
        </w:rPr>
        <w:t xml:space="preserve"> gennaio di ogni anno</w:t>
      </w:r>
      <w:r w:rsidR="001E492B">
        <w:rPr>
          <w:rFonts w:ascii="DecimaWE Rg" w:hAnsi="DecimaWE Rg"/>
        </w:rPr>
        <w:t>.</w:t>
      </w:r>
    </w:p>
    <w:p w:rsidR="00762902" w:rsidRDefault="00E63795" w:rsidP="00444C78">
      <w:pPr>
        <w:spacing w:after="0"/>
        <w:jc w:val="both"/>
        <w:rPr>
          <w:rFonts w:ascii="DecimaWE Rg" w:hAnsi="DecimaWE Rg"/>
        </w:rPr>
      </w:pPr>
      <w:r>
        <w:rPr>
          <w:rFonts w:ascii="DecimaWE Rg" w:hAnsi="DecimaWE Rg"/>
        </w:rPr>
        <w:t>Nel 2018 l</w:t>
      </w:r>
      <w:r w:rsidR="00444C78">
        <w:rPr>
          <w:rFonts w:ascii="DecimaWE Rg" w:hAnsi="DecimaWE Rg"/>
        </w:rPr>
        <w:t xml:space="preserve">a media delle domande MIA è pari a 265 domande al mese, comprensive di nuove </w:t>
      </w:r>
      <w:r w:rsidR="00762902">
        <w:rPr>
          <w:rFonts w:ascii="DecimaWE Rg" w:hAnsi="DecimaWE Rg"/>
        </w:rPr>
        <w:t xml:space="preserve">domande </w:t>
      </w:r>
      <w:r w:rsidR="00444C78">
        <w:rPr>
          <w:rFonts w:ascii="DecimaWE Rg" w:hAnsi="DecimaWE Rg"/>
        </w:rPr>
        <w:t xml:space="preserve">e rinnovi e risulta significativamente ridotta rispetto agli anni precedenti (nel 2017 erano state registrate in media 929 domande al mese, nel 2016 quasi 800 domande al mese, mentre nei primi 3 mesi di avvio della misura nel 2015 la media superava le 2600 domande al mese); la media mensile delle domande </w:t>
      </w:r>
      <w:proofErr w:type="spellStart"/>
      <w:r w:rsidR="00EC2880">
        <w:rPr>
          <w:rFonts w:ascii="DecimaWE Rg" w:hAnsi="DecimaWE Rg"/>
        </w:rPr>
        <w:t>ReI</w:t>
      </w:r>
      <w:proofErr w:type="spellEnd"/>
      <w:r w:rsidR="00444C78">
        <w:rPr>
          <w:rFonts w:ascii="DecimaWE Rg" w:hAnsi="DecimaWE Rg"/>
        </w:rPr>
        <w:t xml:space="preserve"> FVG risulta </w:t>
      </w:r>
      <w:r w:rsidR="00762902">
        <w:rPr>
          <w:rFonts w:ascii="DecimaWE Rg" w:hAnsi="DecimaWE Rg"/>
        </w:rPr>
        <w:t xml:space="preserve">invece </w:t>
      </w:r>
      <w:r w:rsidR="00444C78">
        <w:rPr>
          <w:rFonts w:ascii="DecimaWE Rg" w:hAnsi="DecimaWE Rg"/>
        </w:rPr>
        <w:t xml:space="preserve">pari a 149. </w:t>
      </w:r>
    </w:p>
    <w:p w:rsidR="00762902" w:rsidRDefault="00444C78" w:rsidP="00762902">
      <w:pPr>
        <w:spacing w:after="0"/>
        <w:jc w:val="both"/>
        <w:rPr>
          <w:rFonts w:ascii="DecimaWE Rg" w:hAnsi="DecimaWE Rg"/>
        </w:rPr>
      </w:pPr>
      <w:r>
        <w:rPr>
          <w:rFonts w:ascii="DecimaWE Rg" w:hAnsi="DecimaWE Rg"/>
        </w:rPr>
        <w:t xml:space="preserve">Il decremento delle domande di MIA </w:t>
      </w:r>
      <w:r w:rsidR="00762902">
        <w:rPr>
          <w:rFonts w:ascii="DecimaWE Rg" w:hAnsi="DecimaWE Rg"/>
        </w:rPr>
        <w:t xml:space="preserve">a fronte dell’incremento di domande </w:t>
      </w:r>
      <w:proofErr w:type="spellStart"/>
      <w:r w:rsidR="00EC2880">
        <w:rPr>
          <w:rFonts w:ascii="DecimaWE Rg" w:hAnsi="DecimaWE Rg"/>
        </w:rPr>
        <w:t>ReI</w:t>
      </w:r>
      <w:proofErr w:type="spellEnd"/>
      <w:r w:rsidR="00762902">
        <w:rPr>
          <w:rFonts w:ascii="DecimaWE Rg" w:hAnsi="DecimaWE Rg"/>
        </w:rPr>
        <w:t xml:space="preserve"> FVG </w:t>
      </w:r>
      <w:r>
        <w:rPr>
          <w:rFonts w:ascii="DecimaWE Rg" w:hAnsi="DecimaWE Rg"/>
        </w:rPr>
        <w:t xml:space="preserve">nel corso degli ultimi mesi di sperimentazione </w:t>
      </w:r>
      <w:r w:rsidR="00762902">
        <w:rPr>
          <w:rFonts w:ascii="DecimaWE Rg" w:hAnsi="DecimaWE Rg"/>
        </w:rPr>
        <w:t xml:space="preserve">si ritiene </w:t>
      </w:r>
      <w:r>
        <w:rPr>
          <w:rFonts w:ascii="DecimaWE Rg" w:hAnsi="DecimaWE Rg"/>
        </w:rPr>
        <w:t xml:space="preserve">collegabile </w:t>
      </w:r>
      <w:r w:rsidR="00762902">
        <w:rPr>
          <w:rFonts w:ascii="DecimaWE Rg" w:hAnsi="DecimaWE Rg"/>
        </w:rPr>
        <w:t xml:space="preserve">all’applicazione delle regole di coordinamento fra l’una e l’altra misura </w:t>
      </w:r>
      <w:r w:rsidR="00762902">
        <w:rPr>
          <w:rFonts w:ascii="DecimaWE Rg" w:hAnsi="DecimaWE Rg"/>
        </w:rPr>
        <w:lastRenderedPageBreak/>
        <w:t xml:space="preserve">introdotte nel 2018 che hanno </w:t>
      </w:r>
      <w:r w:rsidR="00695A1A">
        <w:rPr>
          <w:rFonts w:ascii="DecimaWE Rg" w:hAnsi="DecimaWE Rg"/>
        </w:rPr>
        <w:t xml:space="preserve">progressivamente </w:t>
      </w:r>
      <w:r w:rsidR="00762902">
        <w:rPr>
          <w:rFonts w:ascii="DecimaWE Rg" w:hAnsi="DecimaWE Rg"/>
        </w:rPr>
        <w:t xml:space="preserve">“spostato” parte della platea storica della MIA verso il </w:t>
      </w:r>
      <w:proofErr w:type="spellStart"/>
      <w:r w:rsidR="00EC2880">
        <w:rPr>
          <w:rFonts w:ascii="DecimaWE Rg" w:hAnsi="DecimaWE Rg"/>
        </w:rPr>
        <w:t>ReI</w:t>
      </w:r>
      <w:proofErr w:type="spellEnd"/>
      <w:r w:rsidR="00762902">
        <w:rPr>
          <w:rFonts w:ascii="DecimaWE Rg" w:hAnsi="DecimaWE Rg"/>
        </w:rPr>
        <w:t xml:space="preserve"> e le integrazioni regionali</w:t>
      </w:r>
      <w:r w:rsidR="00762902" w:rsidRPr="004F3A46">
        <w:rPr>
          <w:rFonts w:ascii="DecimaWE Rg" w:hAnsi="DecimaWE Rg"/>
        </w:rPr>
        <w:t>.</w:t>
      </w:r>
    </w:p>
    <w:p w:rsidR="004B2DA8" w:rsidRDefault="004B2DA8" w:rsidP="005C09EC">
      <w:pPr>
        <w:spacing w:after="0"/>
        <w:jc w:val="both"/>
        <w:rPr>
          <w:rFonts w:ascii="DecimaWE Rg" w:hAnsi="DecimaWE Rg"/>
        </w:rPr>
      </w:pPr>
      <w:r>
        <w:rPr>
          <w:rFonts w:ascii="DecimaWE Rg" w:hAnsi="DecimaWE Rg"/>
        </w:rPr>
        <w:t xml:space="preserve">La distribuzione territoriale </w:t>
      </w:r>
      <w:r w:rsidR="00444C78">
        <w:rPr>
          <w:rFonts w:ascii="DecimaWE Rg" w:hAnsi="DecimaWE Rg"/>
        </w:rPr>
        <w:t xml:space="preserve">del complesso delle domande </w:t>
      </w:r>
      <w:r>
        <w:rPr>
          <w:rFonts w:ascii="DecimaWE Rg" w:hAnsi="DecimaWE Rg"/>
        </w:rPr>
        <w:t>(Graf. 2) continua invece a ev</w:t>
      </w:r>
      <w:r w:rsidR="00511902">
        <w:rPr>
          <w:rFonts w:ascii="DecimaWE Rg" w:hAnsi="DecimaWE Rg"/>
        </w:rPr>
        <w:t xml:space="preserve">idenziare, coerentemente con il restante periodo di </w:t>
      </w:r>
      <w:r>
        <w:rPr>
          <w:rFonts w:ascii="DecimaWE Rg" w:hAnsi="DecimaWE Rg"/>
        </w:rPr>
        <w:t>speriment</w:t>
      </w:r>
      <w:r w:rsidR="00303928">
        <w:rPr>
          <w:rFonts w:ascii="DecimaWE Rg" w:hAnsi="DecimaWE Rg"/>
        </w:rPr>
        <w:t>azione</w:t>
      </w:r>
      <w:r w:rsidR="00444C78">
        <w:rPr>
          <w:rFonts w:ascii="DecimaWE Rg" w:hAnsi="DecimaWE Rg"/>
        </w:rPr>
        <w:t xml:space="preserve"> della MIA</w:t>
      </w:r>
      <w:r w:rsidR="00303928">
        <w:rPr>
          <w:rFonts w:ascii="DecimaWE Rg" w:hAnsi="DecimaWE Rg"/>
        </w:rPr>
        <w:t>, un significativo</w:t>
      </w:r>
      <w:r w:rsidR="00511902">
        <w:rPr>
          <w:rFonts w:ascii="DecimaWE Rg" w:hAnsi="DecimaWE Rg"/>
        </w:rPr>
        <w:t xml:space="preserve"> impatto delle misure</w:t>
      </w:r>
      <w:r w:rsidR="00303928">
        <w:rPr>
          <w:rFonts w:ascii="DecimaWE Rg" w:hAnsi="DecimaWE Rg"/>
        </w:rPr>
        <w:t xml:space="preserve"> </w:t>
      </w:r>
      <w:r w:rsidR="00444C78">
        <w:rPr>
          <w:rFonts w:ascii="DecimaWE Rg" w:hAnsi="DecimaWE Rg"/>
        </w:rPr>
        <w:t xml:space="preserve">di sostegno al reddito </w:t>
      </w:r>
      <w:r w:rsidR="00303928">
        <w:rPr>
          <w:rFonts w:ascii="DecimaWE Rg" w:hAnsi="DecimaWE Rg"/>
        </w:rPr>
        <w:t>nei territori del</w:t>
      </w:r>
      <w:r>
        <w:rPr>
          <w:rFonts w:ascii="DecimaWE Rg" w:hAnsi="DecimaWE Rg"/>
        </w:rPr>
        <w:t xml:space="preserve"> </w:t>
      </w:r>
      <w:r w:rsidR="00511902">
        <w:rPr>
          <w:rFonts w:ascii="DecimaWE Rg" w:hAnsi="DecimaWE Rg"/>
        </w:rPr>
        <w:t>Triestino e Friuli Centrale</w:t>
      </w:r>
      <w:r>
        <w:rPr>
          <w:rFonts w:ascii="DecimaWE Rg" w:hAnsi="DecimaWE Rg"/>
        </w:rPr>
        <w:t xml:space="preserve"> in termini di numero</w:t>
      </w:r>
      <w:r w:rsidR="00DE1025">
        <w:rPr>
          <w:rFonts w:ascii="DecimaWE Rg" w:hAnsi="DecimaWE Rg"/>
        </w:rPr>
        <w:t xml:space="preserve"> complessivo </w:t>
      </w:r>
      <w:r>
        <w:rPr>
          <w:rFonts w:ascii="DecimaWE Rg" w:hAnsi="DecimaWE Rg"/>
        </w:rPr>
        <w:t xml:space="preserve">di domande </w:t>
      </w:r>
      <w:r w:rsidR="00511902">
        <w:rPr>
          <w:rFonts w:ascii="DecimaWE Rg" w:hAnsi="DecimaWE Rg"/>
        </w:rPr>
        <w:t>presentate</w:t>
      </w:r>
      <w:r w:rsidR="00DE1025">
        <w:rPr>
          <w:rFonts w:ascii="DecimaWE Rg" w:hAnsi="DecimaWE Rg"/>
        </w:rPr>
        <w:t xml:space="preserve"> </w:t>
      </w:r>
      <w:r w:rsidR="00444C78">
        <w:rPr>
          <w:rFonts w:ascii="DecimaWE Rg" w:hAnsi="DecimaWE Rg"/>
        </w:rPr>
        <w:t>(</w:t>
      </w:r>
      <w:r w:rsidR="00DE1025">
        <w:rPr>
          <w:rFonts w:ascii="DecimaWE Rg" w:hAnsi="DecimaWE Rg"/>
        </w:rPr>
        <w:t xml:space="preserve">i due territori raccolgono complessivamente il 40% delle </w:t>
      </w:r>
      <w:r w:rsidR="00303928">
        <w:rPr>
          <w:rFonts w:ascii="DecimaWE Rg" w:hAnsi="DecimaWE Rg"/>
        </w:rPr>
        <w:t>richieste regionali</w:t>
      </w:r>
      <w:r w:rsidR="00444C78">
        <w:rPr>
          <w:rFonts w:ascii="DecimaWE Rg" w:hAnsi="DecimaWE Rg"/>
        </w:rPr>
        <w:t xml:space="preserve"> di MIA e </w:t>
      </w:r>
      <w:proofErr w:type="spellStart"/>
      <w:r w:rsidR="00EC2880">
        <w:rPr>
          <w:rFonts w:ascii="DecimaWE Rg" w:hAnsi="DecimaWE Rg"/>
        </w:rPr>
        <w:t>ReI</w:t>
      </w:r>
      <w:proofErr w:type="spellEnd"/>
      <w:r w:rsidR="00444C78">
        <w:rPr>
          <w:rFonts w:ascii="DecimaWE Rg" w:hAnsi="DecimaWE Rg"/>
        </w:rPr>
        <w:t xml:space="preserve"> FVG)</w:t>
      </w:r>
      <w:r w:rsidR="00303928">
        <w:rPr>
          <w:rFonts w:ascii="DecimaWE Rg" w:hAnsi="DecimaWE Rg"/>
        </w:rPr>
        <w:t>,</w:t>
      </w:r>
      <w:r w:rsidR="00DE1025">
        <w:rPr>
          <w:rFonts w:ascii="DecimaWE Rg" w:hAnsi="DecimaWE Rg"/>
        </w:rPr>
        <w:t xml:space="preserve"> p</w:t>
      </w:r>
      <w:r w:rsidR="00303928">
        <w:rPr>
          <w:rFonts w:ascii="DecimaWE Rg" w:hAnsi="DecimaWE Rg"/>
        </w:rPr>
        <w:t>er quanto concerne invece</w:t>
      </w:r>
      <w:r w:rsidR="00511902">
        <w:rPr>
          <w:rFonts w:ascii="DecimaWE Rg" w:hAnsi="DecimaWE Rg"/>
        </w:rPr>
        <w:t xml:space="preserve"> l’</w:t>
      </w:r>
      <w:r>
        <w:rPr>
          <w:rFonts w:ascii="DecimaWE Rg" w:hAnsi="DecimaWE Rg"/>
        </w:rPr>
        <w:t xml:space="preserve">incidenza delle stesse rispetto alla popolazione di </w:t>
      </w:r>
      <w:r w:rsidR="00DE1025">
        <w:rPr>
          <w:rFonts w:ascii="DecimaWE Rg" w:hAnsi="DecimaWE Rg"/>
        </w:rPr>
        <w:t>rif</w:t>
      </w:r>
      <w:r w:rsidR="00511902">
        <w:rPr>
          <w:rFonts w:ascii="DecimaWE Rg" w:hAnsi="DecimaWE Rg"/>
        </w:rPr>
        <w:t>erimento</w:t>
      </w:r>
      <w:r w:rsidR="009A7F7B">
        <w:rPr>
          <w:rFonts w:ascii="DecimaWE Rg" w:hAnsi="DecimaWE Rg"/>
        </w:rPr>
        <w:t xml:space="preserve"> la media regionale di 34,0 domande ogni 10.000 abitanti</w:t>
      </w:r>
      <w:r w:rsidR="00511902">
        <w:rPr>
          <w:rFonts w:ascii="DecimaWE Rg" w:hAnsi="DecimaWE Rg"/>
        </w:rPr>
        <w:t xml:space="preserve">, più che dimezzata rispetto agli anni precedenti, </w:t>
      </w:r>
      <w:r w:rsidR="00444C78">
        <w:rPr>
          <w:rFonts w:ascii="DecimaWE Rg" w:hAnsi="DecimaWE Rg"/>
        </w:rPr>
        <w:t xml:space="preserve">viene superata </w:t>
      </w:r>
      <w:r w:rsidR="009A7F7B">
        <w:rPr>
          <w:rFonts w:ascii="DecimaWE Rg" w:hAnsi="DecimaWE Rg"/>
        </w:rPr>
        <w:t>in Friuli centrale (51,1) nei territori del</w:t>
      </w:r>
      <w:r>
        <w:rPr>
          <w:rFonts w:ascii="DecimaWE Rg" w:hAnsi="DecimaWE Rg"/>
        </w:rPr>
        <w:t xml:space="preserve"> Collio Alto Isonzo </w:t>
      </w:r>
      <w:r w:rsidR="00DE1025">
        <w:rPr>
          <w:rFonts w:ascii="DecimaWE Rg" w:hAnsi="DecimaWE Rg"/>
        </w:rPr>
        <w:t>(43,2) e del</w:t>
      </w:r>
      <w:r>
        <w:rPr>
          <w:rFonts w:ascii="DecimaWE Rg" w:hAnsi="DecimaWE Rg"/>
        </w:rPr>
        <w:t xml:space="preserve"> Carso Isonzo Adriatico</w:t>
      </w:r>
      <w:r w:rsidR="00DE1025">
        <w:rPr>
          <w:rFonts w:ascii="DecimaWE Rg" w:hAnsi="DecimaWE Rg"/>
        </w:rPr>
        <w:t xml:space="preserve"> (40,5)</w:t>
      </w:r>
      <w:r w:rsidR="009A7F7B">
        <w:rPr>
          <w:rFonts w:ascii="DecimaWE Rg" w:hAnsi="DecimaWE Rg"/>
        </w:rPr>
        <w:t xml:space="preserve"> e nel Triestino (39,2)</w:t>
      </w:r>
      <w:r>
        <w:rPr>
          <w:rFonts w:ascii="DecimaWE Rg" w:hAnsi="DecimaWE Rg"/>
        </w:rPr>
        <w:t xml:space="preserve">. </w:t>
      </w:r>
    </w:p>
    <w:p w:rsidR="0094643A" w:rsidRDefault="0094643A" w:rsidP="005C09EC">
      <w:pPr>
        <w:spacing w:after="0"/>
        <w:jc w:val="both"/>
        <w:rPr>
          <w:rFonts w:ascii="DecimaWE Rg" w:hAnsi="DecimaWE Rg"/>
        </w:rPr>
      </w:pPr>
    </w:p>
    <w:p w:rsidR="004B2DA8" w:rsidRDefault="004B2DA8" w:rsidP="005C09EC">
      <w:pPr>
        <w:spacing w:after="0" w:line="240" w:lineRule="auto"/>
        <w:jc w:val="both"/>
        <w:rPr>
          <w:rFonts w:ascii="DecimaWE Rg" w:hAnsi="DecimaWE Rg"/>
          <w:i/>
          <w:sz w:val="20"/>
        </w:rPr>
      </w:pPr>
      <w:r w:rsidRPr="00344A13">
        <w:rPr>
          <w:rFonts w:ascii="DecimaWE Rg" w:hAnsi="DecimaWE Rg"/>
          <w:i/>
          <w:sz w:val="20"/>
        </w:rPr>
        <w:t>Gr</w:t>
      </w:r>
      <w:r w:rsidR="00BB5CB9">
        <w:rPr>
          <w:rFonts w:ascii="DecimaWE Rg" w:hAnsi="DecimaWE Rg"/>
          <w:i/>
          <w:sz w:val="20"/>
        </w:rPr>
        <w:t>af. 1 – Andamento domande MIA</w:t>
      </w:r>
      <w:r>
        <w:rPr>
          <w:rFonts w:ascii="DecimaWE Rg" w:hAnsi="DecimaWE Rg"/>
          <w:i/>
          <w:sz w:val="20"/>
        </w:rPr>
        <w:t xml:space="preserve"> e </w:t>
      </w:r>
      <w:proofErr w:type="spellStart"/>
      <w:r w:rsidR="00EC2880">
        <w:rPr>
          <w:rFonts w:ascii="DecimaWE Rg" w:hAnsi="DecimaWE Rg"/>
          <w:i/>
          <w:sz w:val="20"/>
        </w:rPr>
        <w:t>ReI</w:t>
      </w:r>
      <w:proofErr w:type="spellEnd"/>
      <w:r>
        <w:rPr>
          <w:rFonts w:ascii="DecimaWE Rg" w:hAnsi="DecimaWE Rg"/>
          <w:i/>
          <w:sz w:val="20"/>
        </w:rPr>
        <w:t xml:space="preserve"> FVG</w:t>
      </w:r>
      <w:r w:rsidRPr="00344A13">
        <w:rPr>
          <w:rFonts w:ascii="DecimaWE Rg" w:hAnsi="DecimaWE Rg"/>
          <w:i/>
          <w:sz w:val="20"/>
        </w:rPr>
        <w:t xml:space="preserve"> registrate a sistema (SIMIA) per mensilità di presentazione da </w:t>
      </w:r>
      <w:r>
        <w:rPr>
          <w:rFonts w:ascii="DecimaWE Rg" w:hAnsi="DecimaWE Rg"/>
          <w:i/>
          <w:sz w:val="20"/>
        </w:rPr>
        <w:t xml:space="preserve">gennaio </w:t>
      </w:r>
      <w:r w:rsidR="00BB5CB9">
        <w:rPr>
          <w:rFonts w:ascii="DecimaWE Rg" w:hAnsi="DecimaWE Rg"/>
          <w:i/>
          <w:sz w:val="20"/>
        </w:rPr>
        <w:t xml:space="preserve">a ottobre </w:t>
      </w:r>
      <w:r w:rsidRPr="00344A13">
        <w:rPr>
          <w:rFonts w:ascii="DecimaWE Rg" w:hAnsi="DecimaWE Rg"/>
          <w:i/>
          <w:sz w:val="20"/>
        </w:rPr>
        <w:t>201</w:t>
      </w:r>
      <w:r w:rsidR="00BB5CB9">
        <w:rPr>
          <w:rFonts w:ascii="DecimaWE Rg" w:hAnsi="DecimaWE Rg"/>
          <w:i/>
          <w:sz w:val="20"/>
        </w:rPr>
        <w:t>8</w:t>
      </w:r>
      <w:r w:rsidRPr="00344A13">
        <w:rPr>
          <w:rFonts w:ascii="DecimaWE Rg" w:hAnsi="DecimaWE Rg"/>
          <w:i/>
          <w:sz w:val="20"/>
        </w:rPr>
        <w:t>.</w:t>
      </w:r>
    </w:p>
    <w:p w:rsidR="002D7123" w:rsidRDefault="002D7123" w:rsidP="005C09EC">
      <w:pPr>
        <w:spacing w:after="0" w:line="240" w:lineRule="auto"/>
        <w:jc w:val="both"/>
        <w:rPr>
          <w:rFonts w:ascii="DecimaWE Rg" w:hAnsi="DecimaWE Rg"/>
          <w:i/>
          <w:sz w:val="20"/>
        </w:rPr>
      </w:pPr>
      <w:r>
        <w:rPr>
          <w:rFonts w:ascii="DecimaWE Rg" w:hAnsi="DecimaWE Rg"/>
          <w:i/>
          <w:noProof/>
          <w:sz w:val="20"/>
          <w:lang w:eastAsia="it-IT"/>
        </w:rPr>
        <w:drawing>
          <wp:inline distT="0" distB="0" distL="0" distR="0" wp14:anchorId="39F6676E" wp14:editId="3CEAC8E5">
            <wp:extent cx="6115050" cy="1907529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02" cy="1908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2DA8" w:rsidRDefault="004B2DA8" w:rsidP="005C09EC">
      <w:pPr>
        <w:spacing w:after="0"/>
        <w:jc w:val="both"/>
        <w:rPr>
          <w:rFonts w:ascii="DecimaWE Rg" w:hAnsi="DecimaWE Rg"/>
          <w:i/>
          <w:sz w:val="18"/>
        </w:rPr>
      </w:pPr>
      <w:r w:rsidRPr="009A7F7B">
        <w:rPr>
          <w:rFonts w:ascii="DecimaWE Rg" w:hAnsi="DecimaWE Rg"/>
          <w:i/>
          <w:sz w:val="18"/>
        </w:rPr>
        <w:t xml:space="preserve">Fonte: SIMIA – domande registrate </w:t>
      </w:r>
      <w:r w:rsidR="00303928" w:rsidRPr="009A7F7B">
        <w:rPr>
          <w:rFonts w:ascii="DecimaWE Rg" w:hAnsi="DecimaWE Rg"/>
          <w:i/>
          <w:sz w:val="18"/>
        </w:rPr>
        <w:t>dal 01/01/2018</w:t>
      </w:r>
      <w:r w:rsidRPr="009A7F7B">
        <w:rPr>
          <w:rFonts w:ascii="DecimaWE Rg" w:hAnsi="DecimaWE Rg"/>
          <w:i/>
          <w:sz w:val="18"/>
        </w:rPr>
        <w:t xml:space="preserve"> al </w:t>
      </w:r>
      <w:r w:rsidR="00303928" w:rsidRPr="009A7F7B">
        <w:rPr>
          <w:rFonts w:ascii="DecimaWE Rg" w:hAnsi="DecimaWE Rg"/>
          <w:i/>
          <w:sz w:val="18"/>
        </w:rPr>
        <w:t>31/10/2018</w:t>
      </w:r>
      <w:r w:rsidRPr="009A7F7B">
        <w:rPr>
          <w:rFonts w:ascii="DecimaWE Rg" w:hAnsi="DecimaWE Rg"/>
          <w:i/>
          <w:sz w:val="18"/>
        </w:rPr>
        <w:t xml:space="preserve">, estrazione dati al </w:t>
      </w:r>
      <w:r w:rsidR="00BB5CB9" w:rsidRPr="009A7F7B">
        <w:rPr>
          <w:rFonts w:ascii="DecimaWE Rg" w:hAnsi="DecimaWE Rg"/>
          <w:i/>
          <w:sz w:val="18"/>
        </w:rPr>
        <w:t>03/05/2019</w:t>
      </w:r>
      <w:r w:rsidRPr="009A7F7B">
        <w:rPr>
          <w:rFonts w:ascii="DecimaWE Rg" w:hAnsi="DecimaWE Rg"/>
          <w:i/>
          <w:sz w:val="18"/>
        </w:rPr>
        <w:t>.</w:t>
      </w:r>
      <w:r>
        <w:rPr>
          <w:rFonts w:ascii="DecimaWE Rg" w:hAnsi="DecimaWE Rg"/>
          <w:i/>
          <w:sz w:val="18"/>
        </w:rPr>
        <w:t xml:space="preserve"> </w:t>
      </w:r>
    </w:p>
    <w:p w:rsidR="004B2DA8" w:rsidRDefault="004B2DA8" w:rsidP="005C09EC">
      <w:pPr>
        <w:spacing w:after="0" w:line="240" w:lineRule="auto"/>
        <w:jc w:val="both"/>
        <w:rPr>
          <w:rFonts w:ascii="DecimaWE Rg" w:hAnsi="DecimaWE Rg"/>
          <w:i/>
          <w:sz w:val="20"/>
        </w:rPr>
      </w:pPr>
    </w:p>
    <w:p w:rsidR="004B2DA8" w:rsidRDefault="004B2DA8" w:rsidP="005C09EC">
      <w:pPr>
        <w:spacing w:after="0" w:line="240" w:lineRule="auto"/>
        <w:jc w:val="both"/>
        <w:rPr>
          <w:rFonts w:ascii="DecimaWE Rg" w:hAnsi="DecimaWE Rg"/>
          <w:i/>
          <w:sz w:val="20"/>
        </w:rPr>
      </w:pPr>
      <w:r>
        <w:rPr>
          <w:rFonts w:ascii="DecimaWE Rg" w:hAnsi="DecimaWE Rg"/>
          <w:i/>
          <w:sz w:val="20"/>
        </w:rPr>
        <w:t>Graf. 2 – Distribuzione</w:t>
      </w:r>
      <w:r w:rsidRPr="00344A13">
        <w:rPr>
          <w:rFonts w:ascii="DecimaWE Rg" w:hAnsi="DecimaWE Rg"/>
          <w:i/>
          <w:sz w:val="20"/>
        </w:rPr>
        <w:t xml:space="preserve"> </w:t>
      </w:r>
      <w:r w:rsidR="005144FE">
        <w:rPr>
          <w:rFonts w:ascii="DecimaWE Rg" w:hAnsi="DecimaWE Rg"/>
          <w:i/>
          <w:sz w:val="20"/>
        </w:rPr>
        <w:t>per SSC</w:t>
      </w:r>
      <w:r>
        <w:rPr>
          <w:rFonts w:ascii="DecimaWE Rg" w:hAnsi="DecimaWE Rg"/>
          <w:i/>
          <w:sz w:val="20"/>
        </w:rPr>
        <w:t xml:space="preserve"> delle </w:t>
      </w:r>
      <w:r w:rsidRPr="00344A13">
        <w:rPr>
          <w:rFonts w:ascii="DecimaWE Rg" w:hAnsi="DecimaWE Rg"/>
          <w:i/>
          <w:sz w:val="20"/>
        </w:rPr>
        <w:t xml:space="preserve">domande MIA </w:t>
      </w:r>
      <w:r>
        <w:rPr>
          <w:rFonts w:ascii="DecimaWE Rg" w:hAnsi="DecimaWE Rg"/>
          <w:i/>
          <w:sz w:val="20"/>
        </w:rPr>
        <w:t xml:space="preserve">e </w:t>
      </w:r>
      <w:proofErr w:type="spellStart"/>
      <w:r w:rsidR="00EC2880">
        <w:rPr>
          <w:rFonts w:ascii="DecimaWE Rg" w:hAnsi="DecimaWE Rg"/>
          <w:i/>
          <w:sz w:val="20"/>
        </w:rPr>
        <w:t>ReI</w:t>
      </w:r>
      <w:proofErr w:type="spellEnd"/>
      <w:r>
        <w:rPr>
          <w:rFonts w:ascii="DecimaWE Rg" w:hAnsi="DecimaWE Rg"/>
          <w:i/>
          <w:sz w:val="20"/>
        </w:rPr>
        <w:t xml:space="preserve"> FVG</w:t>
      </w:r>
      <w:r w:rsidRPr="00344A13">
        <w:rPr>
          <w:rFonts w:ascii="DecimaWE Rg" w:hAnsi="DecimaWE Rg"/>
          <w:i/>
          <w:sz w:val="20"/>
        </w:rPr>
        <w:t xml:space="preserve"> registrate</w:t>
      </w:r>
      <w:r>
        <w:rPr>
          <w:rFonts w:ascii="DecimaWE Rg" w:hAnsi="DecimaWE Rg"/>
          <w:i/>
          <w:sz w:val="20"/>
        </w:rPr>
        <w:t xml:space="preserve"> a sistema (SIMIA) </w:t>
      </w:r>
      <w:r w:rsidRPr="00344A13">
        <w:rPr>
          <w:rFonts w:ascii="DecimaWE Rg" w:hAnsi="DecimaWE Rg"/>
          <w:i/>
          <w:sz w:val="20"/>
        </w:rPr>
        <w:t xml:space="preserve">da </w:t>
      </w:r>
      <w:r>
        <w:rPr>
          <w:rFonts w:ascii="DecimaWE Rg" w:hAnsi="DecimaWE Rg"/>
          <w:i/>
          <w:sz w:val="20"/>
        </w:rPr>
        <w:t xml:space="preserve">gennaio </w:t>
      </w:r>
      <w:r w:rsidRPr="00344A13">
        <w:rPr>
          <w:rFonts w:ascii="DecimaWE Rg" w:hAnsi="DecimaWE Rg"/>
          <w:i/>
          <w:sz w:val="20"/>
        </w:rPr>
        <w:t xml:space="preserve">a </w:t>
      </w:r>
      <w:r w:rsidR="005144FE">
        <w:rPr>
          <w:rFonts w:ascii="DecimaWE Rg" w:hAnsi="DecimaWE Rg"/>
          <w:i/>
          <w:sz w:val="20"/>
        </w:rPr>
        <w:t>ottobre</w:t>
      </w:r>
      <w:r w:rsidRPr="00344A13">
        <w:rPr>
          <w:rFonts w:ascii="DecimaWE Rg" w:hAnsi="DecimaWE Rg"/>
          <w:i/>
          <w:sz w:val="20"/>
        </w:rPr>
        <w:t xml:space="preserve"> 201</w:t>
      </w:r>
      <w:r w:rsidR="005144FE">
        <w:rPr>
          <w:rFonts w:ascii="DecimaWE Rg" w:hAnsi="DecimaWE Rg"/>
          <w:i/>
          <w:sz w:val="20"/>
        </w:rPr>
        <w:t>8</w:t>
      </w:r>
      <w:r>
        <w:rPr>
          <w:rFonts w:ascii="DecimaWE Rg" w:hAnsi="DecimaWE Rg"/>
          <w:i/>
          <w:sz w:val="20"/>
        </w:rPr>
        <w:t xml:space="preserve"> e incidenza ogni 10.000 abitanti.</w:t>
      </w:r>
    </w:p>
    <w:p w:rsidR="005144FE" w:rsidRDefault="005144FE" w:rsidP="005C09EC">
      <w:pPr>
        <w:spacing w:after="0" w:line="240" w:lineRule="auto"/>
        <w:jc w:val="both"/>
        <w:rPr>
          <w:rFonts w:ascii="DecimaWE Rg" w:hAnsi="DecimaWE Rg"/>
          <w:i/>
          <w:sz w:val="20"/>
        </w:rPr>
      </w:pPr>
      <w:r>
        <w:rPr>
          <w:rFonts w:ascii="DecimaWE Rg" w:hAnsi="DecimaWE Rg"/>
          <w:i/>
          <w:noProof/>
          <w:sz w:val="20"/>
          <w:lang w:eastAsia="it-IT"/>
        </w:rPr>
        <w:drawing>
          <wp:inline distT="0" distB="0" distL="0" distR="0" wp14:anchorId="1629BC2E" wp14:editId="5A24F305">
            <wp:extent cx="6115050" cy="2213468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481" cy="2220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7F7B" w:rsidRDefault="009A7F7B" w:rsidP="009A7F7B">
      <w:pPr>
        <w:spacing w:after="0"/>
        <w:jc w:val="both"/>
        <w:rPr>
          <w:rFonts w:ascii="DecimaWE Rg" w:hAnsi="DecimaWE Rg"/>
          <w:i/>
          <w:sz w:val="18"/>
        </w:rPr>
      </w:pPr>
      <w:r w:rsidRPr="009A7F7B">
        <w:rPr>
          <w:rFonts w:ascii="DecimaWE Rg" w:hAnsi="DecimaWE Rg"/>
          <w:i/>
          <w:sz w:val="18"/>
        </w:rPr>
        <w:t>Fonte: SIMIA – domande registrate dal 01/01/2018 al 31/10/2018, estrazione dati al 03/05/2019.</w:t>
      </w:r>
      <w:r>
        <w:rPr>
          <w:rFonts w:ascii="DecimaWE Rg" w:hAnsi="DecimaWE Rg"/>
          <w:i/>
          <w:sz w:val="18"/>
        </w:rPr>
        <w:t xml:space="preserve"> </w:t>
      </w:r>
    </w:p>
    <w:p w:rsidR="004B2DA8" w:rsidRDefault="004B2DA8" w:rsidP="005C09EC">
      <w:pPr>
        <w:tabs>
          <w:tab w:val="left" w:pos="284"/>
        </w:tabs>
        <w:spacing w:after="0"/>
        <w:jc w:val="both"/>
        <w:rPr>
          <w:rFonts w:ascii="DecimaWE Rg" w:hAnsi="DecimaWE Rg"/>
        </w:rPr>
      </w:pPr>
    </w:p>
    <w:p w:rsidR="004B2DA8" w:rsidRDefault="009A7F7B" w:rsidP="005C09EC">
      <w:pPr>
        <w:tabs>
          <w:tab w:val="left" w:pos="284"/>
        </w:tabs>
        <w:spacing w:after="0"/>
        <w:jc w:val="both"/>
        <w:rPr>
          <w:rFonts w:ascii="DecimaWE Rg" w:hAnsi="DecimaWE Rg"/>
        </w:rPr>
      </w:pPr>
      <w:r>
        <w:rPr>
          <w:rFonts w:ascii="DecimaWE Rg" w:hAnsi="DecimaWE Rg"/>
        </w:rPr>
        <w:t>Delle 2.647</w:t>
      </w:r>
      <w:r w:rsidR="004B2DA8">
        <w:rPr>
          <w:rFonts w:ascii="DecimaWE Rg" w:hAnsi="DecimaWE Rg"/>
        </w:rPr>
        <w:t xml:space="preserve"> domande</w:t>
      </w:r>
      <w:r w:rsidR="00F03EB3">
        <w:rPr>
          <w:rFonts w:ascii="DecimaWE Rg" w:hAnsi="DecimaWE Rg"/>
        </w:rPr>
        <w:t xml:space="preserve"> </w:t>
      </w:r>
      <w:r w:rsidR="0047073A">
        <w:rPr>
          <w:rFonts w:ascii="DecimaWE Rg" w:hAnsi="DecimaWE Rg"/>
        </w:rPr>
        <w:t xml:space="preserve">di </w:t>
      </w:r>
      <w:r w:rsidR="00F03EB3">
        <w:rPr>
          <w:rFonts w:ascii="DecimaWE Rg" w:hAnsi="DecimaWE Rg"/>
        </w:rPr>
        <w:t xml:space="preserve">MIA </w:t>
      </w:r>
      <w:r>
        <w:rPr>
          <w:rFonts w:ascii="DecimaWE Rg" w:hAnsi="DecimaWE Rg"/>
        </w:rPr>
        <w:t xml:space="preserve">inserite a sistema, </w:t>
      </w:r>
      <w:r w:rsidR="00E63795">
        <w:rPr>
          <w:rFonts w:ascii="DecimaWE Rg" w:hAnsi="DecimaWE Rg"/>
        </w:rPr>
        <w:t xml:space="preserve">2.508 </w:t>
      </w:r>
      <w:r w:rsidR="004B2DA8">
        <w:rPr>
          <w:rFonts w:ascii="DecimaWE Rg" w:hAnsi="DecimaWE Rg"/>
        </w:rPr>
        <w:t>risultano avere almeno un pagamento regis</w:t>
      </w:r>
      <w:r w:rsidR="009658F3">
        <w:rPr>
          <w:rFonts w:ascii="DecimaWE Rg" w:hAnsi="DecimaWE Rg"/>
        </w:rPr>
        <w:t xml:space="preserve">trato a sistema alla data del 03/05/2019 </w:t>
      </w:r>
      <w:r w:rsidR="004B2DA8">
        <w:rPr>
          <w:rFonts w:ascii="DecimaWE Rg" w:hAnsi="DecimaWE Rg"/>
        </w:rPr>
        <w:t xml:space="preserve">per </w:t>
      </w:r>
      <w:r w:rsidR="009658F3">
        <w:rPr>
          <w:rFonts w:ascii="DecimaWE Rg" w:hAnsi="DecimaWE Rg"/>
          <w:b/>
        </w:rPr>
        <w:t>complessivi 2.498</w:t>
      </w:r>
      <w:r w:rsidR="004B2DA8" w:rsidRPr="00F30BAD">
        <w:rPr>
          <w:rFonts w:ascii="DecimaWE Rg" w:hAnsi="DecimaWE Rg"/>
          <w:b/>
        </w:rPr>
        <w:t xml:space="preserve"> nuclei beneficiari</w:t>
      </w:r>
      <w:r w:rsidR="004B2DA8" w:rsidRPr="00E237E4">
        <w:rPr>
          <w:rStyle w:val="Rimandonotaapidipagina"/>
          <w:rFonts w:ascii="DecimaWE Rg" w:hAnsi="DecimaWE Rg"/>
        </w:rPr>
        <w:footnoteReference w:id="8"/>
      </w:r>
      <w:r w:rsidR="004E4A7F" w:rsidRPr="00EC2880">
        <w:rPr>
          <w:rFonts w:ascii="DecimaWE Rg" w:hAnsi="DecimaWE Rg"/>
        </w:rPr>
        <w:t>,</w:t>
      </w:r>
      <w:r w:rsidR="00B705C2">
        <w:rPr>
          <w:rFonts w:ascii="DecimaWE Rg" w:hAnsi="DecimaWE Rg"/>
        </w:rPr>
        <w:t xml:space="preserve"> </w:t>
      </w:r>
      <w:r w:rsidR="004E4A7F">
        <w:rPr>
          <w:rFonts w:ascii="DecimaWE Rg" w:hAnsi="DecimaWE Rg"/>
        </w:rPr>
        <w:t xml:space="preserve">rispetto ai quali verranno di seguito descritte le caratteristiche </w:t>
      </w:r>
      <w:proofErr w:type="spellStart"/>
      <w:r w:rsidR="004E4A7F">
        <w:rPr>
          <w:rFonts w:ascii="DecimaWE Rg" w:hAnsi="DecimaWE Rg"/>
        </w:rPr>
        <w:t>socioanagrafiche</w:t>
      </w:r>
      <w:proofErr w:type="spellEnd"/>
      <w:r w:rsidR="004E4A7F">
        <w:rPr>
          <w:rFonts w:ascii="DecimaWE Rg" w:hAnsi="DecimaWE Rg"/>
        </w:rPr>
        <w:t>, di questi nuclei 1.465 entrano per la prima volta nella misura</w:t>
      </w:r>
      <w:r w:rsidR="00B705C2">
        <w:rPr>
          <w:rFonts w:ascii="DecimaWE Rg" w:hAnsi="DecimaWE Rg"/>
        </w:rPr>
        <w:t xml:space="preserve">. Per quanto riguarda le domande </w:t>
      </w:r>
      <w:r w:rsidR="00EC2880">
        <w:rPr>
          <w:rFonts w:ascii="DecimaWE Rg" w:hAnsi="DecimaWE Rg"/>
        </w:rPr>
        <w:t>REI</w:t>
      </w:r>
      <w:r w:rsidR="00B705C2">
        <w:rPr>
          <w:rFonts w:ascii="DecimaWE Rg" w:hAnsi="DecimaWE Rg"/>
        </w:rPr>
        <w:t xml:space="preserve"> FVG</w:t>
      </w:r>
      <w:r w:rsidR="00E63795">
        <w:rPr>
          <w:rFonts w:ascii="DecimaWE Rg" w:hAnsi="DecimaWE Rg"/>
        </w:rPr>
        <w:t>,</w:t>
      </w:r>
      <w:r w:rsidR="00B705C2">
        <w:rPr>
          <w:rFonts w:ascii="DecimaWE Rg" w:hAnsi="DecimaWE Rg"/>
        </w:rPr>
        <w:t xml:space="preserve"> </w:t>
      </w:r>
      <w:r w:rsidR="0047073A">
        <w:rPr>
          <w:rFonts w:ascii="DecimaWE Rg" w:hAnsi="DecimaWE Rg"/>
        </w:rPr>
        <w:t>delle 1.488 domande registrate a sistema fino a ottobre 2018 risultano beneficiari complessivamente ulteriori 1</w:t>
      </w:r>
      <w:r w:rsidR="002338D1">
        <w:rPr>
          <w:rFonts w:ascii="DecimaWE Rg" w:hAnsi="DecimaWE Rg"/>
        </w:rPr>
        <w:t>.468 nuclei, la cui analisi sarà oggetto di specifico monitoraggio.</w:t>
      </w:r>
    </w:p>
    <w:p w:rsidR="00EC2880" w:rsidRDefault="00EC2880" w:rsidP="005C09EC">
      <w:pPr>
        <w:tabs>
          <w:tab w:val="left" w:pos="284"/>
        </w:tabs>
        <w:spacing w:after="0"/>
        <w:jc w:val="both"/>
        <w:rPr>
          <w:rFonts w:ascii="DecimaWE Rg" w:hAnsi="DecimaWE Rg"/>
        </w:rPr>
      </w:pPr>
    </w:p>
    <w:p w:rsidR="004B2DA8" w:rsidRPr="0094643A" w:rsidRDefault="004B2DA8" w:rsidP="00EC2880">
      <w:pPr>
        <w:pStyle w:val="Titolo1"/>
        <w:tabs>
          <w:tab w:val="left" w:pos="284"/>
        </w:tabs>
        <w:rPr>
          <w:rFonts w:ascii="DecimaWE Rg" w:hAnsi="DecimaWE Rg"/>
          <w:color w:val="000000" w:themeColor="text1"/>
          <w:sz w:val="22"/>
          <w:szCs w:val="22"/>
        </w:rPr>
      </w:pPr>
      <w:bookmarkStart w:id="3" w:name="_Toc9600347"/>
      <w:r w:rsidRPr="0094643A">
        <w:rPr>
          <w:rFonts w:ascii="DecimaWE Rg" w:hAnsi="DecimaWE Rg"/>
          <w:color w:val="000000" w:themeColor="text1"/>
          <w:sz w:val="22"/>
          <w:szCs w:val="22"/>
        </w:rPr>
        <w:lastRenderedPageBreak/>
        <w:t xml:space="preserve">2. </w:t>
      </w:r>
      <w:r w:rsidRPr="0094643A">
        <w:rPr>
          <w:rFonts w:ascii="DecimaWE Rg" w:hAnsi="DecimaWE Rg"/>
          <w:color w:val="000000" w:themeColor="text1"/>
          <w:sz w:val="22"/>
          <w:szCs w:val="22"/>
        </w:rPr>
        <w:tab/>
        <w:t>Nuclei beneficiari, distribuzione territoriale e spesa.</w:t>
      </w:r>
      <w:bookmarkEnd w:id="3"/>
    </w:p>
    <w:p w:rsidR="004B2DA8" w:rsidRPr="00770249" w:rsidRDefault="004B2DA8" w:rsidP="00EC2880">
      <w:pPr>
        <w:tabs>
          <w:tab w:val="left" w:pos="284"/>
        </w:tabs>
        <w:spacing w:after="0"/>
        <w:jc w:val="both"/>
        <w:rPr>
          <w:rFonts w:ascii="DecimaWE Rg" w:hAnsi="DecimaWE Rg"/>
        </w:rPr>
      </w:pPr>
    </w:p>
    <w:p w:rsidR="004B2DA8" w:rsidRDefault="004B2DA8" w:rsidP="00EC2880">
      <w:pPr>
        <w:tabs>
          <w:tab w:val="left" w:pos="284"/>
        </w:tabs>
        <w:spacing w:after="0"/>
        <w:jc w:val="both"/>
        <w:rPr>
          <w:rFonts w:ascii="DecimaWE Rg" w:hAnsi="DecimaWE Rg"/>
        </w:rPr>
      </w:pPr>
      <w:r>
        <w:rPr>
          <w:rFonts w:ascii="DecimaWE Rg" w:hAnsi="DecimaWE Rg"/>
        </w:rPr>
        <w:t>I</w:t>
      </w:r>
      <w:r w:rsidRPr="00A467B6">
        <w:rPr>
          <w:rFonts w:ascii="DecimaWE Rg" w:hAnsi="DecimaWE Rg"/>
        </w:rPr>
        <w:t xml:space="preserve"> nuclei beneficiari </w:t>
      </w:r>
      <w:r w:rsidR="00875CEC">
        <w:rPr>
          <w:rFonts w:ascii="DecimaWE Rg" w:hAnsi="DecimaWE Rg"/>
        </w:rPr>
        <w:t xml:space="preserve">di MIA </w:t>
      </w:r>
      <w:r>
        <w:rPr>
          <w:rFonts w:ascii="DecimaWE Rg" w:hAnsi="DecimaWE Rg"/>
        </w:rPr>
        <w:t xml:space="preserve">monitorati con riferimento </w:t>
      </w:r>
      <w:r w:rsidR="00875CEC">
        <w:rPr>
          <w:rFonts w:ascii="DecimaWE Rg" w:hAnsi="DecimaWE Rg"/>
        </w:rPr>
        <w:t xml:space="preserve">alle domande presentate nel 2018 sono complessivamente </w:t>
      </w:r>
      <w:r w:rsidR="00392E8D">
        <w:rPr>
          <w:rFonts w:ascii="DecimaWE Rg" w:hAnsi="DecimaWE Rg"/>
        </w:rPr>
        <w:t>2.498</w:t>
      </w:r>
      <w:r w:rsidR="004E4A7F">
        <w:rPr>
          <w:rFonts w:ascii="DecimaWE Rg" w:hAnsi="DecimaWE Rg"/>
        </w:rPr>
        <w:t>, di cui 1</w:t>
      </w:r>
      <w:r w:rsidR="00EC2880">
        <w:rPr>
          <w:rFonts w:ascii="DecimaWE Rg" w:hAnsi="DecimaWE Rg"/>
        </w:rPr>
        <w:t>.</w:t>
      </w:r>
      <w:r w:rsidR="004E4A7F">
        <w:rPr>
          <w:rFonts w:ascii="DecimaWE Rg" w:hAnsi="DecimaWE Rg"/>
        </w:rPr>
        <w:t>465 nuovi,</w:t>
      </w:r>
      <w:r>
        <w:rPr>
          <w:rFonts w:ascii="DecimaWE Rg" w:hAnsi="DecimaWE Rg"/>
        </w:rPr>
        <w:t xml:space="preserve"> e presentano, come le domande, una distribuzione territoriale coerente con quella rilevata nei precedenti monitoraggi</w:t>
      </w:r>
      <w:r w:rsidR="009B74D0">
        <w:rPr>
          <w:rFonts w:ascii="DecimaWE Rg" w:hAnsi="DecimaWE Rg"/>
        </w:rPr>
        <w:t>:</w:t>
      </w:r>
      <w:r w:rsidR="00EC2880">
        <w:rPr>
          <w:rFonts w:ascii="DecimaWE Rg" w:hAnsi="DecimaWE Rg"/>
        </w:rPr>
        <w:t xml:space="preserve"> </w:t>
      </w:r>
      <w:r w:rsidR="00392E8D">
        <w:rPr>
          <w:rFonts w:ascii="DecimaWE Rg" w:hAnsi="DecimaWE Rg"/>
        </w:rPr>
        <w:t xml:space="preserve">una loro maggior concentrazione nei territori del Friuli </w:t>
      </w:r>
      <w:r w:rsidR="00010700">
        <w:rPr>
          <w:rFonts w:ascii="DecimaWE Rg" w:hAnsi="DecimaWE Rg"/>
        </w:rPr>
        <w:t>Centrale (20,2</w:t>
      </w:r>
      <w:r>
        <w:rPr>
          <w:rFonts w:ascii="DecimaWE Rg" w:hAnsi="DecimaWE Rg"/>
        </w:rPr>
        <w:t>% dei nuclei beneficiari</w:t>
      </w:r>
      <w:r w:rsidR="00010700">
        <w:rPr>
          <w:rFonts w:ascii="DecimaWE Rg" w:hAnsi="DecimaWE Rg"/>
        </w:rPr>
        <w:t xml:space="preserve"> della regione); Triestino (16,9</w:t>
      </w:r>
      <w:r>
        <w:rPr>
          <w:rFonts w:ascii="DecimaWE Rg" w:hAnsi="DecimaWE Rg"/>
        </w:rPr>
        <w:t>%), Collio Alto Isonzo e Carso Isonzo Adriatico</w:t>
      </w:r>
      <w:r w:rsidR="00010700">
        <w:rPr>
          <w:rFonts w:ascii="DecimaWE Rg" w:hAnsi="DecimaWE Rg"/>
        </w:rPr>
        <w:t xml:space="preserve"> e Noncello </w:t>
      </w:r>
      <w:r w:rsidR="00EC2880">
        <w:rPr>
          <w:rFonts w:ascii="DecimaWE Rg" w:hAnsi="DecimaWE Rg"/>
        </w:rPr>
        <w:t>(</w:t>
      </w:r>
      <w:r w:rsidR="00010700">
        <w:rPr>
          <w:rFonts w:ascii="DecimaWE Rg" w:hAnsi="DecimaWE Rg"/>
        </w:rPr>
        <w:t xml:space="preserve">intorno al 7%); mentre territori come il Carso Giuliano, </w:t>
      </w:r>
      <w:r>
        <w:rPr>
          <w:rFonts w:ascii="DecimaWE Rg" w:hAnsi="DecimaWE Rg"/>
        </w:rPr>
        <w:t xml:space="preserve">Carnia, </w:t>
      </w:r>
      <w:r w:rsidR="00FA76E1">
        <w:rPr>
          <w:rFonts w:ascii="DecimaWE Rg" w:hAnsi="DecimaWE Rg"/>
        </w:rPr>
        <w:t>Gemonese/</w:t>
      </w:r>
      <w:r w:rsidR="00010700">
        <w:rPr>
          <w:rFonts w:ascii="DecimaWE Rg" w:hAnsi="DecimaWE Rg"/>
        </w:rPr>
        <w:t xml:space="preserve">Canal del </w:t>
      </w:r>
      <w:r w:rsidR="00FA76E1">
        <w:rPr>
          <w:rFonts w:ascii="DecimaWE Rg" w:hAnsi="DecimaWE Rg"/>
        </w:rPr>
        <w:t>Ferro-</w:t>
      </w:r>
      <w:r w:rsidR="00010700">
        <w:rPr>
          <w:rFonts w:ascii="DecimaWE Rg" w:hAnsi="DecimaWE Rg"/>
        </w:rPr>
        <w:t>Valcanale non raggiungono il 2</w:t>
      </w:r>
      <w:r>
        <w:rPr>
          <w:rFonts w:ascii="DecimaWE Rg" w:hAnsi="DecimaWE Rg"/>
        </w:rPr>
        <w:t>% dei beneficiari ciascuno.</w:t>
      </w:r>
    </w:p>
    <w:p w:rsidR="004B2DA8" w:rsidRDefault="004B2DA8" w:rsidP="005C09EC">
      <w:pPr>
        <w:spacing w:after="0" w:line="240" w:lineRule="auto"/>
        <w:jc w:val="both"/>
        <w:rPr>
          <w:rFonts w:ascii="DecimaWE Rg" w:hAnsi="DecimaWE Rg"/>
          <w:i/>
          <w:sz w:val="20"/>
        </w:rPr>
      </w:pPr>
    </w:p>
    <w:p w:rsidR="004B2DA8" w:rsidRDefault="004B2DA8" w:rsidP="005C09EC">
      <w:pPr>
        <w:spacing w:after="0" w:line="240" w:lineRule="auto"/>
        <w:jc w:val="both"/>
        <w:rPr>
          <w:rFonts w:ascii="DecimaWE Rg" w:hAnsi="DecimaWE Rg"/>
          <w:i/>
          <w:sz w:val="20"/>
        </w:rPr>
      </w:pPr>
      <w:proofErr w:type="spellStart"/>
      <w:r>
        <w:rPr>
          <w:rFonts w:ascii="DecimaWE Rg" w:hAnsi="DecimaWE Rg"/>
          <w:i/>
          <w:sz w:val="20"/>
        </w:rPr>
        <w:t>Tab</w:t>
      </w:r>
      <w:proofErr w:type="spellEnd"/>
      <w:r>
        <w:rPr>
          <w:rFonts w:ascii="DecimaWE Rg" w:hAnsi="DecimaWE Rg"/>
          <w:i/>
          <w:sz w:val="20"/>
        </w:rPr>
        <w:t>. 1</w:t>
      </w:r>
      <w:r w:rsidRPr="00344A13">
        <w:rPr>
          <w:rFonts w:ascii="DecimaWE Rg" w:hAnsi="DecimaWE Rg"/>
          <w:i/>
          <w:sz w:val="20"/>
        </w:rPr>
        <w:t xml:space="preserve"> – </w:t>
      </w:r>
      <w:r>
        <w:rPr>
          <w:rFonts w:ascii="DecimaWE Rg" w:hAnsi="DecimaWE Rg"/>
          <w:i/>
          <w:sz w:val="20"/>
        </w:rPr>
        <w:t>Nuclei beneficiari di</w:t>
      </w:r>
      <w:r w:rsidR="00875CEC">
        <w:rPr>
          <w:rFonts w:ascii="DecimaWE Rg" w:hAnsi="DecimaWE Rg"/>
          <w:i/>
          <w:sz w:val="20"/>
        </w:rPr>
        <w:t xml:space="preserve"> MIA</w:t>
      </w:r>
      <w:r w:rsidRPr="00344A13">
        <w:rPr>
          <w:rFonts w:ascii="DecimaWE Rg" w:hAnsi="DecimaWE Rg"/>
          <w:i/>
          <w:sz w:val="20"/>
        </w:rPr>
        <w:t xml:space="preserve"> </w:t>
      </w:r>
      <w:r>
        <w:rPr>
          <w:rFonts w:ascii="DecimaWE Rg" w:hAnsi="DecimaWE Rg"/>
          <w:i/>
          <w:sz w:val="20"/>
        </w:rPr>
        <w:t>con d</w:t>
      </w:r>
      <w:r w:rsidR="00875CEC">
        <w:rPr>
          <w:rFonts w:ascii="DecimaWE Rg" w:hAnsi="DecimaWE Rg"/>
          <w:i/>
          <w:sz w:val="20"/>
        </w:rPr>
        <w:t>omanda presentata dal 01/01/2018 al 22/10/2018</w:t>
      </w:r>
      <w:r>
        <w:rPr>
          <w:rFonts w:ascii="DecimaWE Rg" w:hAnsi="DecimaWE Rg"/>
          <w:i/>
          <w:sz w:val="20"/>
        </w:rPr>
        <w:t>, d</w:t>
      </w:r>
      <w:r w:rsidR="00875CEC">
        <w:rPr>
          <w:rFonts w:ascii="DecimaWE Rg" w:hAnsi="DecimaWE Rg"/>
          <w:i/>
          <w:sz w:val="20"/>
        </w:rPr>
        <w:t>istribuzione percentuale per SSC</w:t>
      </w:r>
      <w:r>
        <w:rPr>
          <w:rFonts w:ascii="DecimaWE Rg" w:hAnsi="DecimaWE Rg"/>
          <w:i/>
          <w:sz w:val="20"/>
        </w:rPr>
        <w:t>, numero di componenti coinvolti e numero medio di componenti per ciascun nucleo.</w:t>
      </w:r>
    </w:p>
    <w:p w:rsidR="00392E8D" w:rsidRDefault="00875866" w:rsidP="005C09EC">
      <w:pPr>
        <w:spacing w:after="0" w:line="240" w:lineRule="auto"/>
        <w:jc w:val="both"/>
        <w:rPr>
          <w:rFonts w:ascii="DecimaWE Rg" w:hAnsi="DecimaWE Rg"/>
          <w:i/>
          <w:sz w:val="20"/>
        </w:rPr>
      </w:pPr>
      <w:r w:rsidRPr="00875866">
        <w:rPr>
          <w:noProof/>
          <w:lang w:eastAsia="it-IT"/>
        </w:rPr>
        <w:drawing>
          <wp:inline distT="0" distB="0" distL="0" distR="0">
            <wp:extent cx="5314950" cy="3733800"/>
            <wp:effectExtent l="0" t="0" r="0" b="0"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844" w:rsidRPr="001C2513" w:rsidRDefault="00422BDA" w:rsidP="009D7844">
      <w:pPr>
        <w:spacing w:after="0"/>
        <w:jc w:val="both"/>
        <w:rPr>
          <w:rFonts w:ascii="DecimaWE Rg" w:hAnsi="DecimaWE Rg"/>
          <w:i/>
          <w:sz w:val="18"/>
        </w:rPr>
      </w:pPr>
      <w:r w:rsidRPr="009A7F7B">
        <w:rPr>
          <w:rFonts w:ascii="DecimaWE Rg" w:hAnsi="DecimaWE Rg"/>
          <w:i/>
          <w:sz w:val="18"/>
        </w:rPr>
        <w:t xml:space="preserve">Fonte: SIMIA – domande </w:t>
      </w:r>
      <w:r w:rsidR="00534D68">
        <w:rPr>
          <w:rFonts w:ascii="DecimaWE Rg" w:hAnsi="DecimaWE Rg"/>
          <w:i/>
          <w:sz w:val="18"/>
        </w:rPr>
        <w:t>registrate dal 01/01/2018 al 22/</w:t>
      </w:r>
      <w:r w:rsidRPr="009A7F7B">
        <w:rPr>
          <w:rFonts w:ascii="DecimaWE Rg" w:hAnsi="DecimaWE Rg"/>
          <w:i/>
          <w:sz w:val="18"/>
        </w:rPr>
        <w:t>10/2018, estrazione dati al 03/05/2019.</w:t>
      </w:r>
      <w:r>
        <w:rPr>
          <w:rFonts w:ascii="DecimaWE Rg" w:hAnsi="DecimaWE Rg"/>
          <w:i/>
          <w:sz w:val="18"/>
        </w:rPr>
        <w:t xml:space="preserve"> </w:t>
      </w:r>
      <w:proofErr w:type="spellStart"/>
      <w:r w:rsidR="009D7844" w:rsidRPr="00A97357">
        <w:rPr>
          <w:rFonts w:ascii="DecimaWE Rg" w:hAnsi="DecimaWE Rg"/>
          <w:i/>
          <w:sz w:val="18"/>
        </w:rPr>
        <w:t>DemoIstat</w:t>
      </w:r>
      <w:proofErr w:type="spellEnd"/>
      <w:r w:rsidR="009D7844" w:rsidRPr="00A97357">
        <w:rPr>
          <w:rFonts w:ascii="DecimaWE Rg" w:hAnsi="DecimaWE Rg"/>
          <w:i/>
          <w:sz w:val="18"/>
        </w:rPr>
        <w:t xml:space="preserve"> </w:t>
      </w:r>
      <w:r w:rsidR="009D7844" w:rsidRPr="001C2513">
        <w:rPr>
          <w:rFonts w:ascii="DecimaWE Rg" w:hAnsi="DecimaWE Rg"/>
          <w:i/>
          <w:sz w:val="18"/>
        </w:rPr>
        <w:t>pop</w:t>
      </w:r>
      <w:r w:rsidR="009D7844">
        <w:rPr>
          <w:rFonts w:ascii="DecimaWE Rg" w:hAnsi="DecimaWE Rg"/>
          <w:i/>
          <w:sz w:val="18"/>
        </w:rPr>
        <w:t>olazione residente al 01.01.2018</w:t>
      </w:r>
      <w:r w:rsidR="009D7844" w:rsidRPr="001C2513">
        <w:rPr>
          <w:rFonts w:ascii="DecimaWE Rg" w:hAnsi="DecimaWE Rg"/>
          <w:i/>
          <w:sz w:val="18"/>
        </w:rPr>
        <w:t>.</w:t>
      </w:r>
    </w:p>
    <w:p w:rsidR="004B2DA8" w:rsidRDefault="004B2DA8" w:rsidP="005C09EC">
      <w:pPr>
        <w:spacing w:after="0"/>
        <w:jc w:val="both"/>
        <w:rPr>
          <w:rFonts w:ascii="DecimaWE Rg" w:hAnsi="DecimaWE Rg"/>
        </w:rPr>
      </w:pPr>
    </w:p>
    <w:p w:rsidR="00C45B97" w:rsidRDefault="004B2DA8" w:rsidP="00C45B97">
      <w:pPr>
        <w:spacing w:after="0"/>
        <w:jc w:val="both"/>
        <w:rPr>
          <w:rFonts w:ascii="DecimaWE Rg" w:hAnsi="DecimaWE Rg"/>
        </w:rPr>
      </w:pPr>
      <w:r>
        <w:rPr>
          <w:rFonts w:ascii="DecimaWE Rg" w:hAnsi="DecimaWE Rg"/>
        </w:rPr>
        <w:t>Dei nuclei beneficiari che hanno prese</w:t>
      </w:r>
      <w:r w:rsidR="00010700">
        <w:rPr>
          <w:rFonts w:ascii="DecimaWE Rg" w:hAnsi="DecimaWE Rg"/>
        </w:rPr>
        <w:t>ntato domanda ne</w:t>
      </w:r>
      <w:r w:rsidR="005431F4">
        <w:rPr>
          <w:rFonts w:ascii="DecimaWE Rg" w:hAnsi="DecimaWE Rg"/>
        </w:rPr>
        <w:t xml:space="preserve">l corso del 2018, </w:t>
      </w:r>
      <w:r w:rsidR="00010700">
        <w:rPr>
          <w:rFonts w:ascii="DecimaWE Rg" w:hAnsi="DecimaWE Rg"/>
        </w:rPr>
        <w:t>1.465</w:t>
      </w:r>
      <w:r w:rsidR="005431F4">
        <w:rPr>
          <w:rFonts w:ascii="DecimaWE Rg" w:hAnsi="DecimaWE Rg"/>
        </w:rPr>
        <w:t xml:space="preserve"> nuclei (quasi il 60%)</w:t>
      </w:r>
      <w:r>
        <w:rPr>
          <w:rFonts w:ascii="DecimaWE Rg" w:hAnsi="DecimaWE Rg"/>
        </w:rPr>
        <w:t xml:space="preserve"> risulta</w:t>
      </w:r>
      <w:r w:rsidR="005431F4">
        <w:rPr>
          <w:rFonts w:ascii="DecimaWE Rg" w:hAnsi="DecimaWE Rg"/>
        </w:rPr>
        <w:t>no</w:t>
      </w:r>
      <w:r>
        <w:rPr>
          <w:rFonts w:ascii="DecimaWE Rg" w:hAnsi="DecimaWE Rg"/>
        </w:rPr>
        <w:t xml:space="preserve"> accedere per la prima volta alla misura.</w:t>
      </w:r>
      <w:r w:rsidR="00C45B97">
        <w:rPr>
          <w:rFonts w:ascii="DecimaWE Rg" w:hAnsi="DecimaWE Rg"/>
        </w:rPr>
        <w:t xml:space="preserve"> </w:t>
      </w:r>
    </w:p>
    <w:p w:rsidR="004B2DA8" w:rsidRDefault="004B2DA8" w:rsidP="00302570">
      <w:pPr>
        <w:spacing w:after="0"/>
        <w:jc w:val="both"/>
        <w:rPr>
          <w:rFonts w:ascii="DecimaWE Rg" w:hAnsi="DecimaWE Rg"/>
        </w:rPr>
      </w:pPr>
      <w:r w:rsidRPr="00084273">
        <w:rPr>
          <w:rFonts w:ascii="DecimaWE Rg" w:hAnsi="DecimaWE Rg"/>
        </w:rPr>
        <w:t xml:space="preserve">Riguardo ai dati economici, l’importo </w:t>
      </w:r>
      <w:r w:rsidR="006127A4">
        <w:rPr>
          <w:rFonts w:ascii="DecimaWE Rg" w:hAnsi="DecimaWE Rg"/>
        </w:rPr>
        <w:t xml:space="preserve">complessivo </w:t>
      </w:r>
      <w:r w:rsidR="006E6210">
        <w:rPr>
          <w:rFonts w:ascii="DecimaWE Rg" w:hAnsi="DecimaWE Rg"/>
        </w:rPr>
        <w:t xml:space="preserve">erogato </w:t>
      </w:r>
      <w:r w:rsidR="004C1668">
        <w:rPr>
          <w:rFonts w:ascii="DecimaWE Rg" w:hAnsi="DecimaWE Rg"/>
        </w:rPr>
        <w:t xml:space="preserve">a titolo di MIA </w:t>
      </w:r>
      <w:r w:rsidR="006E6210">
        <w:rPr>
          <w:rFonts w:ascii="DecimaWE Rg" w:hAnsi="DecimaWE Rg"/>
        </w:rPr>
        <w:t>nel corso dell’anno 2018 si attesta a euro 28.</w:t>
      </w:r>
      <w:r w:rsidR="004C1668">
        <w:rPr>
          <w:rFonts w:ascii="DecimaWE Rg" w:hAnsi="DecimaWE Rg"/>
        </w:rPr>
        <w:t>428</w:t>
      </w:r>
      <w:r w:rsidR="006E6210">
        <w:rPr>
          <w:rFonts w:ascii="DecimaWE Rg" w:hAnsi="DecimaWE Rg"/>
        </w:rPr>
        <w:t>.</w:t>
      </w:r>
      <w:r w:rsidR="004C1668">
        <w:rPr>
          <w:rFonts w:ascii="DecimaWE Rg" w:hAnsi="DecimaWE Rg"/>
        </w:rPr>
        <w:t>625</w:t>
      </w:r>
      <w:r w:rsidR="006E6210">
        <w:rPr>
          <w:rFonts w:ascii="DecimaWE Rg" w:hAnsi="DecimaWE Rg"/>
        </w:rPr>
        <w:t>,</w:t>
      </w:r>
      <w:r w:rsidR="004C1668">
        <w:rPr>
          <w:rFonts w:ascii="DecimaWE Rg" w:hAnsi="DecimaWE Rg"/>
        </w:rPr>
        <w:t>11</w:t>
      </w:r>
      <w:r w:rsidR="006E6210">
        <w:rPr>
          <w:rStyle w:val="Rimandonotaapidipagina"/>
          <w:rFonts w:ascii="DecimaWE Rg" w:hAnsi="DecimaWE Rg"/>
        </w:rPr>
        <w:footnoteReference w:id="9"/>
      </w:r>
      <w:r w:rsidR="006127A4">
        <w:rPr>
          <w:rFonts w:ascii="DecimaWE Rg" w:hAnsi="DecimaWE Rg"/>
        </w:rPr>
        <w:t xml:space="preserve">, mentre a titolo di </w:t>
      </w:r>
      <w:proofErr w:type="spellStart"/>
      <w:r w:rsidR="006127A4">
        <w:rPr>
          <w:rFonts w:ascii="DecimaWE Rg" w:hAnsi="DecimaWE Rg"/>
        </w:rPr>
        <w:t>ReI</w:t>
      </w:r>
      <w:proofErr w:type="spellEnd"/>
      <w:r w:rsidR="006127A4">
        <w:rPr>
          <w:rFonts w:ascii="DecimaWE Rg" w:hAnsi="DecimaWE Rg"/>
        </w:rPr>
        <w:t xml:space="preserve"> FVG sono stati erogati euro 395.294,69</w:t>
      </w:r>
      <w:r w:rsidR="006127A4">
        <w:rPr>
          <w:rStyle w:val="Rimandonotaapidipagina"/>
          <w:rFonts w:ascii="DecimaWE Rg" w:hAnsi="DecimaWE Rg"/>
        </w:rPr>
        <w:footnoteReference w:id="10"/>
      </w:r>
      <w:r w:rsidR="006127A4">
        <w:rPr>
          <w:rFonts w:ascii="DecimaWE Rg" w:hAnsi="DecimaWE Rg"/>
        </w:rPr>
        <w:t xml:space="preserve"> per un totale complessivo di entrambe le misure di euro </w:t>
      </w:r>
      <w:r w:rsidR="00D83352">
        <w:rPr>
          <w:rFonts w:ascii="DecimaWE Rg" w:hAnsi="DecimaWE Rg"/>
        </w:rPr>
        <w:t>28.823.919,80</w:t>
      </w:r>
      <w:r w:rsidR="00302570">
        <w:rPr>
          <w:rFonts w:ascii="DecimaWE Rg" w:hAnsi="DecimaWE Rg"/>
        </w:rPr>
        <w:t xml:space="preserve">. </w:t>
      </w:r>
    </w:p>
    <w:p w:rsidR="004B2DA8" w:rsidRDefault="004B2DA8" w:rsidP="005C09EC">
      <w:pPr>
        <w:spacing w:after="0"/>
        <w:jc w:val="both"/>
        <w:rPr>
          <w:rFonts w:ascii="DecimaWE Rg" w:hAnsi="DecimaWE Rg"/>
        </w:rPr>
      </w:pPr>
      <w:r>
        <w:rPr>
          <w:rFonts w:ascii="DecimaWE Rg" w:hAnsi="DecimaWE Rg"/>
        </w:rPr>
        <w:t>Sommando i nuovi nuclei che hanno presentato domanda nel 201</w:t>
      </w:r>
      <w:r w:rsidR="00010700">
        <w:rPr>
          <w:rFonts w:ascii="DecimaWE Rg" w:hAnsi="DecimaWE Rg"/>
        </w:rPr>
        <w:t>8</w:t>
      </w:r>
      <w:r>
        <w:rPr>
          <w:rFonts w:ascii="DecimaWE Rg" w:hAnsi="DecimaWE Rg"/>
        </w:rPr>
        <w:t xml:space="preserve"> a quelli precedentemente m</w:t>
      </w:r>
      <w:r w:rsidR="00010700">
        <w:rPr>
          <w:rFonts w:ascii="DecimaWE Rg" w:hAnsi="DecimaWE Rg"/>
        </w:rPr>
        <w:t>onitorati (beneficiari MIA 2015-2018</w:t>
      </w:r>
      <w:r>
        <w:rPr>
          <w:rFonts w:ascii="DecimaWE Rg" w:hAnsi="DecimaWE Rg"/>
        </w:rPr>
        <w:t xml:space="preserve">) risultano </w:t>
      </w:r>
      <w:r w:rsidR="00010700">
        <w:rPr>
          <w:rFonts w:ascii="DecimaWE Rg" w:hAnsi="DecimaWE Rg"/>
          <w:b/>
        </w:rPr>
        <w:t>complessivamente 20.568</w:t>
      </w:r>
      <w:r>
        <w:rPr>
          <w:rFonts w:ascii="DecimaWE Rg" w:hAnsi="DecimaWE Rg"/>
          <w:b/>
        </w:rPr>
        <w:t xml:space="preserve"> nuclei beneficiari</w:t>
      </w:r>
      <w:r>
        <w:rPr>
          <w:rFonts w:ascii="DecimaWE Rg" w:hAnsi="DecimaWE Rg"/>
        </w:rPr>
        <w:t xml:space="preserve"> a livello regionale, </w:t>
      </w:r>
      <w:r>
        <w:rPr>
          <w:rFonts w:ascii="DecimaWE Rg" w:hAnsi="DecimaWE Rg"/>
          <w:b/>
        </w:rPr>
        <w:t xml:space="preserve">con </w:t>
      </w:r>
      <w:r>
        <w:rPr>
          <w:rFonts w:ascii="DecimaWE Rg" w:hAnsi="DecimaWE Rg"/>
          <w:b/>
        </w:rPr>
        <w:lastRenderedPageBreak/>
        <w:t>un’incidenza pari</w:t>
      </w:r>
      <w:r w:rsidR="00010700">
        <w:rPr>
          <w:rFonts w:ascii="DecimaWE Rg" w:hAnsi="DecimaWE Rg"/>
          <w:b/>
        </w:rPr>
        <w:t xml:space="preserve"> a 3,7</w:t>
      </w:r>
      <w:r w:rsidRPr="009003D6">
        <w:rPr>
          <w:rFonts w:ascii="DecimaWE Rg" w:hAnsi="DecimaWE Rg"/>
          <w:b/>
        </w:rPr>
        <w:t xml:space="preserve"> nuclei beneficiari ogni 100 famiglie</w:t>
      </w:r>
      <w:r>
        <w:rPr>
          <w:rFonts w:ascii="DecimaWE Rg" w:hAnsi="DecimaWE Rg"/>
        </w:rPr>
        <w:t xml:space="preserve"> residenti</w:t>
      </w:r>
      <w:r>
        <w:rPr>
          <w:rStyle w:val="Rimandonotaapidipagina"/>
          <w:rFonts w:ascii="DecimaWE Rg" w:hAnsi="DecimaWE Rg"/>
        </w:rPr>
        <w:footnoteReference w:id="11"/>
      </w:r>
      <w:r>
        <w:rPr>
          <w:rFonts w:ascii="DecimaWE Rg" w:hAnsi="DecimaWE Rg"/>
        </w:rPr>
        <w:t>. La distribuzione dei nuclei per</w:t>
      </w:r>
      <w:r w:rsidR="00010700">
        <w:rPr>
          <w:rFonts w:ascii="DecimaWE Rg" w:hAnsi="DecimaWE Rg"/>
        </w:rPr>
        <w:t xml:space="preserve"> bimestre</w:t>
      </w:r>
      <w:r>
        <w:rPr>
          <w:rFonts w:ascii="DecimaWE Rg" w:hAnsi="DecimaWE Rg"/>
        </w:rPr>
        <w:t xml:space="preserve"> di primo accesso alla misura evidenzia, dopo il picco significativo di domande nella fase di avvio (ottobre-dicembre 2015), una successiva diminuzione e conseguentemente una stabilizzazione dei nuovi accessi a partire dal secondo seme</w:t>
      </w:r>
      <w:r w:rsidR="00355278">
        <w:rPr>
          <w:rFonts w:ascii="DecimaWE Rg" w:hAnsi="DecimaWE Rg"/>
        </w:rPr>
        <w:t>stre del 2016 e</w:t>
      </w:r>
      <w:r w:rsidR="009B74D0">
        <w:rPr>
          <w:rFonts w:ascii="DecimaWE Rg" w:hAnsi="DecimaWE Rg"/>
        </w:rPr>
        <w:t>, da ultimo, un</w:t>
      </w:r>
      <w:r w:rsidR="00355278">
        <w:rPr>
          <w:rFonts w:ascii="DecimaWE Rg" w:hAnsi="DecimaWE Rg"/>
        </w:rPr>
        <w:t xml:space="preserve"> progressivo calo fino alla conclusione della misura</w:t>
      </w:r>
      <w:r>
        <w:rPr>
          <w:rFonts w:ascii="DecimaWE Rg" w:hAnsi="DecimaWE Rg"/>
        </w:rPr>
        <w:t>.</w:t>
      </w:r>
    </w:p>
    <w:p w:rsidR="004B2DA8" w:rsidRDefault="004B2DA8" w:rsidP="005C09EC">
      <w:pPr>
        <w:spacing w:after="0"/>
        <w:jc w:val="both"/>
        <w:rPr>
          <w:rFonts w:ascii="DecimaWE Rg" w:hAnsi="DecimaWE Rg"/>
        </w:rPr>
      </w:pPr>
    </w:p>
    <w:p w:rsidR="004B2DA8" w:rsidRDefault="004B2DA8" w:rsidP="005C09EC">
      <w:pPr>
        <w:spacing w:after="0" w:line="240" w:lineRule="auto"/>
        <w:jc w:val="both"/>
        <w:rPr>
          <w:rFonts w:ascii="DecimaWE Rg" w:hAnsi="DecimaWE Rg"/>
          <w:i/>
          <w:sz w:val="20"/>
        </w:rPr>
      </w:pPr>
      <w:r>
        <w:rPr>
          <w:rFonts w:ascii="DecimaWE Rg" w:hAnsi="DecimaWE Rg"/>
          <w:i/>
          <w:sz w:val="20"/>
        </w:rPr>
        <w:t>Graf. 3</w:t>
      </w:r>
      <w:r w:rsidRPr="00344A13">
        <w:rPr>
          <w:rFonts w:ascii="DecimaWE Rg" w:hAnsi="DecimaWE Rg"/>
          <w:i/>
          <w:sz w:val="20"/>
        </w:rPr>
        <w:t xml:space="preserve"> – </w:t>
      </w:r>
      <w:r>
        <w:rPr>
          <w:rFonts w:ascii="DecimaWE Rg" w:hAnsi="DecimaWE Rg"/>
          <w:i/>
          <w:sz w:val="20"/>
        </w:rPr>
        <w:t>Nuclei beneficiari di</w:t>
      </w:r>
      <w:r w:rsidRPr="00344A13">
        <w:rPr>
          <w:rFonts w:ascii="DecimaWE Rg" w:hAnsi="DecimaWE Rg"/>
          <w:i/>
          <w:sz w:val="20"/>
        </w:rPr>
        <w:t xml:space="preserve"> MIA per mensilità di presentazione</w:t>
      </w:r>
      <w:r>
        <w:rPr>
          <w:rFonts w:ascii="DecimaWE Rg" w:hAnsi="DecimaWE Rg"/>
          <w:i/>
          <w:sz w:val="20"/>
        </w:rPr>
        <w:t xml:space="preserve"> della prima istanza, nel periodo</w:t>
      </w:r>
      <w:r w:rsidRPr="00344A13">
        <w:rPr>
          <w:rFonts w:ascii="DecimaWE Rg" w:hAnsi="DecimaWE Rg"/>
          <w:i/>
          <w:sz w:val="20"/>
        </w:rPr>
        <w:t xml:space="preserve"> ottobre 20</w:t>
      </w:r>
      <w:r w:rsidR="00875CEC">
        <w:rPr>
          <w:rFonts w:ascii="DecimaWE Rg" w:hAnsi="DecimaWE Rg"/>
          <w:i/>
          <w:sz w:val="20"/>
        </w:rPr>
        <w:t>15- ottobre 2018</w:t>
      </w:r>
      <w:r w:rsidRPr="00344A13">
        <w:rPr>
          <w:rFonts w:ascii="DecimaWE Rg" w:hAnsi="DecimaWE Rg"/>
          <w:i/>
          <w:sz w:val="20"/>
        </w:rPr>
        <w:t>.</w:t>
      </w:r>
    </w:p>
    <w:p w:rsidR="004B2DA8" w:rsidRDefault="00011624" w:rsidP="00533DB5">
      <w:pPr>
        <w:spacing w:after="0" w:line="240" w:lineRule="auto"/>
        <w:jc w:val="center"/>
        <w:rPr>
          <w:rFonts w:ascii="DecimaWE Rg" w:hAnsi="DecimaWE Rg"/>
          <w:i/>
          <w:noProof/>
          <w:sz w:val="20"/>
          <w:lang w:eastAsia="it-IT"/>
        </w:rPr>
      </w:pPr>
      <w:r>
        <w:rPr>
          <w:rFonts w:ascii="DecimaWE Rg" w:hAnsi="DecimaWE Rg"/>
          <w:i/>
          <w:noProof/>
          <w:sz w:val="20"/>
          <w:lang w:eastAsia="it-IT"/>
        </w:rPr>
        <w:drawing>
          <wp:inline distT="0" distB="0" distL="0" distR="0" wp14:anchorId="4BC138AF" wp14:editId="4EA87CF2">
            <wp:extent cx="6210300" cy="2157111"/>
            <wp:effectExtent l="0" t="0" r="0" b="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734" cy="21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3A28" w:rsidRDefault="000D3A28" w:rsidP="000D3A28">
      <w:pPr>
        <w:spacing w:after="0" w:line="240" w:lineRule="auto"/>
        <w:jc w:val="both"/>
        <w:rPr>
          <w:rFonts w:ascii="DecimaWE Rg" w:hAnsi="DecimaWE Rg"/>
          <w:i/>
          <w:sz w:val="16"/>
          <w:szCs w:val="16"/>
        </w:rPr>
      </w:pPr>
      <w:r>
        <w:rPr>
          <w:rFonts w:ascii="DecimaWE Rg" w:hAnsi="DecimaWE Rg"/>
          <w:i/>
          <w:sz w:val="16"/>
          <w:szCs w:val="16"/>
        </w:rPr>
        <w:t xml:space="preserve">Fonte: </w:t>
      </w:r>
      <w:r w:rsidRPr="001871A9">
        <w:rPr>
          <w:rFonts w:ascii="DecimaWE Rg" w:hAnsi="DecimaWE Rg"/>
          <w:i/>
          <w:sz w:val="16"/>
          <w:szCs w:val="16"/>
        </w:rPr>
        <w:t>Fonte: SIMI</w:t>
      </w:r>
      <w:r>
        <w:rPr>
          <w:rFonts w:ascii="DecimaWE Rg" w:hAnsi="DecimaWE Rg"/>
          <w:i/>
          <w:sz w:val="16"/>
          <w:szCs w:val="16"/>
        </w:rPr>
        <w:t>A – domande dal 22/10/2015 al 31/12/2017 estrazione dati al 15/02/2019; domande dal 01/01/2018 al 22/10/2018 estrazione dati al 03/05/2019.</w:t>
      </w:r>
    </w:p>
    <w:p w:rsidR="009D7844" w:rsidRDefault="009D7844" w:rsidP="009D7844">
      <w:pPr>
        <w:spacing w:after="0" w:line="240" w:lineRule="auto"/>
        <w:jc w:val="both"/>
        <w:rPr>
          <w:rFonts w:ascii="DecimaWE Rg" w:hAnsi="DecimaWE Rg"/>
        </w:rPr>
      </w:pPr>
    </w:p>
    <w:p w:rsidR="00355278" w:rsidRDefault="004B2DA8" w:rsidP="005C09EC">
      <w:pPr>
        <w:spacing w:after="0"/>
        <w:jc w:val="both"/>
        <w:rPr>
          <w:rFonts w:ascii="DecimaWE Rg" w:hAnsi="DecimaWE Rg"/>
        </w:rPr>
      </w:pPr>
      <w:r>
        <w:rPr>
          <w:rFonts w:ascii="DecimaWE Rg" w:hAnsi="DecimaWE Rg"/>
        </w:rPr>
        <w:t>Anche in questo caso</w:t>
      </w:r>
      <w:r w:rsidR="009B74D0">
        <w:rPr>
          <w:rFonts w:ascii="DecimaWE Rg" w:hAnsi="DecimaWE Rg"/>
        </w:rPr>
        <w:t>,</w:t>
      </w:r>
      <w:r>
        <w:rPr>
          <w:rFonts w:ascii="DecimaWE Rg" w:hAnsi="DecimaWE Rg"/>
        </w:rPr>
        <w:t xml:space="preserve"> osservando la distribuzione territoriale riferita al totale dei nuclei che hanno beneficiato della misura, risulta evidente l’impatto sui territori </w:t>
      </w:r>
      <w:r w:rsidR="00355278">
        <w:rPr>
          <w:rFonts w:ascii="DecimaWE Rg" w:hAnsi="DecimaWE Rg"/>
        </w:rPr>
        <w:t>Triestino</w:t>
      </w:r>
      <w:r>
        <w:rPr>
          <w:rFonts w:ascii="DecimaWE Rg" w:hAnsi="DecimaWE Rg"/>
        </w:rPr>
        <w:t xml:space="preserve"> e de</w:t>
      </w:r>
      <w:r w:rsidR="00355278">
        <w:rPr>
          <w:rFonts w:ascii="DecimaWE Rg" w:hAnsi="DecimaWE Rg"/>
        </w:rPr>
        <w:t>l Friuli Centrale, con oltre 5</w:t>
      </w:r>
      <w:r>
        <w:rPr>
          <w:rFonts w:ascii="DecimaWE Rg" w:hAnsi="DecimaWE Rg"/>
        </w:rPr>
        <w:t xml:space="preserve"> nuclei </w:t>
      </w:r>
      <w:r w:rsidR="00355278">
        <w:rPr>
          <w:rFonts w:ascii="DecimaWE Rg" w:hAnsi="DecimaWE Rg"/>
        </w:rPr>
        <w:t>beneficiari ogni 100 famiglie</w:t>
      </w:r>
      <w:r w:rsidRPr="000149BE">
        <w:rPr>
          <w:rFonts w:ascii="DecimaWE Rg" w:hAnsi="DecimaWE Rg"/>
        </w:rPr>
        <w:t xml:space="preserve"> resi</w:t>
      </w:r>
      <w:r w:rsidR="00355278">
        <w:rPr>
          <w:rFonts w:ascii="DecimaWE Rg" w:hAnsi="DecimaWE Rg"/>
        </w:rPr>
        <w:t xml:space="preserve">denti e nel </w:t>
      </w:r>
      <w:r w:rsidRPr="000149BE">
        <w:rPr>
          <w:rFonts w:ascii="DecimaWE Rg" w:hAnsi="DecimaWE Rg"/>
        </w:rPr>
        <w:t>Carso Isonzo Adriatico e Collio-Alto Isonzo dove l’incidenza s</w:t>
      </w:r>
      <w:r w:rsidR="00355278">
        <w:rPr>
          <w:rFonts w:ascii="DecimaWE Rg" w:hAnsi="DecimaWE Rg"/>
        </w:rPr>
        <w:t>i attesta rispettivamente su 4,4 e 3,9</w:t>
      </w:r>
      <w:r w:rsidRPr="000149BE">
        <w:rPr>
          <w:rFonts w:ascii="DecimaWE Rg" w:hAnsi="DecimaWE Rg"/>
        </w:rPr>
        <w:t xml:space="preserve"> nuclei beneficiari ogni 100 famiglie residenti. Si conferma pertanto la maggior concentrazione di beneficiari nei territori urbani. </w:t>
      </w:r>
    </w:p>
    <w:p w:rsidR="004B2DA8" w:rsidRDefault="00355278" w:rsidP="004D5438">
      <w:pPr>
        <w:spacing w:after="0"/>
        <w:jc w:val="both"/>
        <w:rPr>
          <w:rFonts w:ascii="DecimaWE Rg" w:hAnsi="DecimaWE Rg"/>
        </w:rPr>
      </w:pPr>
      <w:r w:rsidRPr="00355278">
        <w:rPr>
          <w:rFonts w:ascii="DecimaWE Rg" w:hAnsi="DecimaWE Rg"/>
        </w:rPr>
        <w:t xml:space="preserve">L’incidenza dei </w:t>
      </w:r>
      <w:r w:rsidR="004D5438">
        <w:rPr>
          <w:rFonts w:ascii="DecimaWE Rg" w:hAnsi="DecimaWE Rg"/>
        </w:rPr>
        <w:t xml:space="preserve">componenti dei nuclei </w:t>
      </w:r>
      <w:r w:rsidRPr="00355278">
        <w:rPr>
          <w:rFonts w:ascii="DecimaWE Rg" w:hAnsi="DecimaWE Rg"/>
        </w:rPr>
        <w:t xml:space="preserve">beneficiari </w:t>
      </w:r>
      <w:r>
        <w:rPr>
          <w:rFonts w:ascii="DecimaWE Rg" w:hAnsi="DecimaWE Rg"/>
        </w:rPr>
        <w:t xml:space="preserve">(complessivamente </w:t>
      </w:r>
      <w:r>
        <w:rPr>
          <w:rFonts w:ascii="DecimaWE Rg" w:hAnsi="DecimaWE Rg"/>
          <w:b/>
          <w:sz w:val="20"/>
          <w:szCs w:val="20"/>
        </w:rPr>
        <w:t>54.101 persone coinvolte</w:t>
      </w:r>
      <w:r>
        <w:rPr>
          <w:rFonts w:ascii="DecimaWE Rg" w:hAnsi="DecimaWE Rg"/>
        </w:rPr>
        <w:t xml:space="preserve">) </w:t>
      </w:r>
      <w:r w:rsidRPr="00355278">
        <w:rPr>
          <w:rFonts w:ascii="DecimaWE Rg" w:hAnsi="DecimaWE Rg"/>
        </w:rPr>
        <w:t xml:space="preserve">rispetto ai residenti </w:t>
      </w:r>
      <w:r>
        <w:rPr>
          <w:rFonts w:ascii="DecimaWE Rg" w:hAnsi="DecimaWE Rg"/>
        </w:rPr>
        <w:t xml:space="preserve">a livello regionale </w:t>
      </w:r>
      <w:r w:rsidR="009B74D0">
        <w:rPr>
          <w:rFonts w:ascii="DecimaWE Rg" w:hAnsi="DecimaWE Rg"/>
        </w:rPr>
        <w:t xml:space="preserve">risulta pari </w:t>
      </w:r>
      <w:r>
        <w:rPr>
          <w:rFonts w:ascii="DecimaWE Rg" w:hAnsi="DecimaWE Rg"/>
        </w:rPr>
        <w:t>al 4,4%</w:t>
      </w:r>
      <w:r w:rsidR="004D5438">
        <w:rPr>
          <w:rFonts w:ascii="DecimaWE Rg" w:hAnsi="DecimaWE Rg"/>
        </w:rPr>
        <w:t>.</w:t>
      </w:r>
    </w:p>
    <w:p w:rsidR="004B2DA8" w:rsidRDefault="004B2DA8" w:rsidP="005C09EC">
      <w:pPr>
        <w:spacing w:after="0"/>
        <w:jc w:val="both"/>
        <w:rPr>
          <w:rFonts w:ascii="DecimaWE Rg" w:hAnsi="DecimaWE Rg"/>
        </w:rPr>
      </w:pPr>
    </w:p>
    <w:p w:rsidR="004B2DA8" w:rsidRDefault="004B2DA8" w:rsidP="005C09EC">
      <w:pPr>
        <w:spacing w:after="0" w:line="240" w:lineRule="auto"/>
        <w:jc w:val="both"/>
        <w:rPr>
          <w:rFonts w:ascii="DecimaWE Rg" w:hAnsi="DecimaWE Rg"/>
          <w:i/>
          <w:sz w:val="20"/>
        </w:rPr>
      </w:pPr>
      <w:r>
        <w:rPr>
          <w:rFonts w:ascii="DecimaWE Rg" w:hAnsi="DecimaWE Rg"/>
          <w:i/>
          <w:sz w:val="20"/>
        </w:rPr>
        <w:t>Graf. 4 – Distribuzione</w:t>
      </w:r>
      <w:r w:rsidRPr="00344A13">
        <w:rPr>
          <w:rFonts w:ascii="DecimaWE Rg" w:hAnsi="DecimaWE Rg"/>
          <w:i/>
          <w:sz w:val="20"/>
        </w:rPr>
        <w:t xml:space="preserve"> </w:t>
      </w:r>
      <w:r w:rsidR="000200DD">
        <w:rPr>
          <w:rFonts w:ascii="DecimaWE Rg" w:hAnsi="DecimaWE Rg"/>
          <w:i/>
          <w:sz w:val="20"/>
        </w:rPr>
        <w:t>per SSC</w:t>
      </w:r>
      <w:r>
        <w:rPr>
          <w:rFonts w:ascii="DecimaWE Rg" w:hAnsi="DecimaWE Rg"/>
          <w:i/>
          <w:sz w:val="20"/>
        </w:rPr>
        <w:t xml:space="preserve"> dei nuclei beneficiari di </w:t>
      </w:r>
      <w:r w:rsidR="000200DD">
        <w:rPr>
          <w:rFonts w:ascii="DecimaWE Rg" w:hAnsi="DecimaWE Rg"/>
          <w:i/>
          <w:sz w:val="20"/>
        </w:rPr>
        <w:t>MIA</w:t>
      </w:r>
      <w:r>
        <w:rPr>
          <w:rFonts w:ascii="DecimaWE Rg" w:hAnsi="DecimaWE Rg"/>
          <w:i/>
          <w:sz w:val="20"/>
        </w:rPr>
        <w:t xml:space="preserve"> nel periodo</w:t>
      </w:r>
      <w:r w:rsidRPr="00344A13">
        <w:rPr>
          <w:rFonts w:ascii="DecimaWE Rg" w:hAnsi="DecimaWE Rg"/>
          <w:i/>
          <w:sz w:val="20"/>
        </w:rPr>
        <w:t xml:space="preserve"> ottobre 20</w:t>
      </w:r>
      <w:r w:rsidR="000200DD">
        <w:rPr>
          <w:rFonts w:ascii="DecimaWE Rg" w:hAnsi="DecimaWE Rg"/>
          <w:i/>
          <w:sz w:val="20"/>
        </w:rPr>
        <w:t>15-ottobre 2018</w:t>
      </w:r>
      <w:r>
        <w:rPr>
          <w:rFonts w:ascii="DecimaWE Rg" w:hAnsi="DecimaWE Rg"/>
          <w:i/>
          <w:sz w:val="20"/>
        </w:rPr>
        <w:t xml:space="preserve"> e incidenza ogni 100 famiglie residenti.</w:t>
      </w:r>
    </w:p>
    <w:p w:rsidR="004B2DA8" w:rsidRDefault="00355278" w:rsidP="005C09EC">
      <w:pPr>
        <w:spacing w:after="0" w:line="240" w:lineRule="auto"/>
        <w:jc w:val="both"/>
        <w:rPr>
          <w:rFonts w:ascii="DecimaWE Rg" w:hAnsi="DecimaWE Rg"/>
        </w:rPr>
      </w:pPr>
      <w:r>
        <w:rPr>
          <w:rFonts w:ascii="DecimaWE Rg" w:hAnsi="DecimaWE Rg"/>
          <w:noProof/>
          <w:lang w:eastAsia="it-IT"/>
        </w:rPr>
        <w:drawing>
          <wp:inline distT="0" distB="0" distL="0" distR="0" wp14:anchorId="30CE34EB" wp14:editId="71D0EF83">
            <wp:extent cx="6142254" cy="2072640"/>
            <wp:effectExtent l="0" t="0" r="0" b="381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651" cy="2072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3A28" w:rsidRDefault="000D3A28" w:rsidP="000D3A28">
      <w:pPr>
        <w:spacing w:after="0" w:line="240" w:lineRule="auto"/>
        <w:jc w:val="both"/>
        <w:rPr>
          <w:rFonts w:ascii="DecimaWE Rg" w:hAnsi="DecimaWE Rg"/>
          <w:i/>
          <w:sz w:val="16"/>
          <w:szCs w:val="16"/>
        </w:rPr>
      </w:pPr>
      <w:r>
        <w:rPr>
          <w:rFonts w:ascii="DecimaWE Rg" w:hAnsi="DecimaWE Rg"/>
          <w:i/>
          <w:sz w:val="16"/>
          <w:szCs w:val="16"/>
        </w:rPr>
        <w:t xml:space="preserve">Fonte: </w:t>
      </w:r>
      <w:r w:rsidRPr="001871A9">
        <w:rPr>
          <w:rFonts w:ascii="DecimaWE Rg" w:hAnsi="DecimaWE Rg"/>
          <w:i/>
          <w:sz w:val="16"/>
          <w:szCs w:val="16"/>
        </w:rPr>
        <w:t>Fonte: SIMI</w:t>
      </w:r>
      <w:r>
        <w:rPr>
          <w:rFonts w:ascii="DecimaWE Rg" w:hAnsi="DecimaWE Rg"/>
          <w:i/>
          <w:sz w:val="16"/>
          <w:szCs w:val="16"/>
        </w:rPr>
        <w:t>A – domande dal 22/10/2015 al 31/12/2017 estrazione dati al 15/02/2019; domande dal 01/01/2018 al 22/10/2018 estrazione dati al 03/05/2019.</w:t>
      </w:r>
    </w:p>
    <w:p w:rsidR="004B2DA8" w:rsidRDefault="004B2DA8" w:rsidP="005C09EC">
      <w:pPr>
        <w:spacing w:after="0"/>
        <w:jc w:val="both"/>
        <w:rPr>
          <w:rFonts w:ascii="DecimaWE Rg" w:hAnsi="DecimaWE Rg"/>
        </w:rPr>
      </w:pPr>
    </w:p>
    <w:p w:rsidR="004B2DA8" w:rsidRDefault="004B2DA8" w:rsidP="00076C0C">
      <w:pPr>
        <w:tabs>
          <w:tab w:val="left" w:pos="284"/>
        </w:tabs>
        <w:spacing w:after="0"/>
        <w:rPr>
          <w:rFonts w:ascii="DecimaWE Rg" w:hAnsi="DecimaWE Rg"/>
          <w:b/>
        </w:rPr>
      </w:pPr>
    </w:p>
    <w:p w:rsidR="004B2DA8" w:rsidRDefault="004B2DA8" w:rsidP="00076C0C">
      <w:pPr>
        <w:tabs>
          <w:tab w:val="left" w:pos="284"/>
        </w:tabs>
        <w:spacing w:after="0"/>
        <w:rPr>
          <w:rFonts w:ascii="DecimaWE Rg" w:hAnsi="DecimaWE Rg"/>
          <w:b/>
        </w:rPr>
      </w:pPr>
    </w:p>
    <w:p w:rsidR="00DB2B10" w:rsidRPr="0094643A" w:rsidRDefault="00DB2B10" w:rsidP="007D09DF">
      <w:pPr>
        <w:pStyle w:val="Titolo1"/>
        <w:tabs>
          <w:tab w:val="left" w:pos="284"/>
        </w:tabs>
        <w:rPr>
          <w:rFonts w:ascii="DecimaWE Rg" w:hAnsi="DecimaWE Rg"/>
          <w:color w:val="000000" w:themeColor="text1"/>
          <w:sz w:val="22"/>
          <w:szCs w:val="22"/>
        </w:rPr>
      </w:pPr>
      <w:bookmarkStart w:id="4" w:name="_Toc9600348"/>
      <w:r w:rsidRPr="0094643A">
        <w:rPr>
          <w:rFonts w:ascii="DecimaWE Rg" w:hAnsi="DecimaWE Rg"/>
          <w:color w:val="000000" w:themeColor="text1"/>
          <w:sz w:val="22"/>
          <w:szCs w:val="22"/>
        </w:rPr>
        <w:lastRenderedPageBreak/>
        <w:t xml:space="preserve">3. </w:t>
      </w:r>
      <w:r w:rsidRPr="0094643A">
        <w:rPr>
          <w:rFonts w:ascii="DecimaWE Rg" w:hAnsi="DecimaWE Rg"/>
          <w:color w:val="000000" w:themeColor="text1"/>
          <w:sz w:val="22"/>
          <w:szCs w:val="22"/>
        </w:rPr>
        <w:tab/>
      </w:r>
      <w:r w:rsidRPr="00471ACF">
        <w:rPr>
          <w:rFonts w:ascii="DecimaWE Rg" w:hAnsi="DecimaWE Rg"/>
          <w:color w:val="000000" w:themeColor="text1"/>
          <w:sz w:val="22"/>
          <w:szCs w:val="22"/>
        </w:rPr>
        <w:t>Nuclei beneficiari delle domande presentate nel 2018 e loro componenti: profilo socio anagrafico.</w:t>
      </w:r>
      <w:bookmarkEnd w:id="4"/>
    </w:p>
    <w:p w:rsidR="00DB2B10" w:rsidRDefault="00DB2B10" w:rsidP="00DB2B10">
      <w:pPr>
        <w:spacing w:after="0"/>
        <w:jc w:val="both"/>
        <w:rPr>
          <w:rFonts w:ascii="DecimaWE Rg" w:hAnsi="DecimaWE Rg"/>
        </w:rPr>
      </w:pPr>
    </w:p>
    <w:p w:rsidR="00DB2B10" w:rsidRPr="00E23368" w:rsidRDefault="00DB2B10" w:rsidP="00DB2B10">
      <w:pPr>
        <w:spacing w:after="0"/>
        <w:jc w:val="both"/>
        <w:rPr>
          <w:rFonts w:ascii="DecimaWE Rg" w:hAnsi="DecimaWE Rg"/>
          <w:color w:val="FF0000"/>
        </w:rPr>
      </w:pPr>
      <w:r>
        <w:rPr>
          <w:rFonts w:ascii="DecimaWE Rg" w:hAnsi="DecimaWE Rg"/>
        </w:rPr>
        <w:t>Il totale dei componenti dei nuclei beneficiari di MIA con domanda presentata nel 2018 risulta pari a 6.733 persone</w:t>
      </w:r>
      <w:r w:rsidRPr="003F469A">
        <w:rPr>
          <w:rFonts w:ascii="DecimaWE Rg" w:hAnsi="DecimaWE Rg"/>
        </w:rPr>
        <w:t xml:space="preserve">, con un numero medio di persone per nucleo </w:t>
      </w:r>
      <w:r w:rsidR="009B74D0">
        <w:rPr>
          <w:rFonts w:ascii="DecimaWE Rg" w:hAnsi="DecimaWE Rg"/>
        </w:rPr>
        <w:t xml:space="preserve">di </w:t>
      </w:r>
      <w:r w:rsidRPr="003F469A">
        <w:rPr>
          <w:rFonts w:ascii="DecimaWE Rg" w:hAnsi="DecimaWE Rg"/>
        </w:rPr>
        <w:t>2,7, leggermente più alto di quello registrato con riferimento ai beneficiari 2016/2017</w:t>
      </w:r>
      <w:r w:rsidRPr="00CC2BC5">
        <w:rPr>
          <w:rFonts w:ascii="DecimaWE Rg" w:hAnsi="DecimaWE Rg"/>
        </w:rPr>
        <w:t>, ma sempre più alto del numero medio di componenti per famiglia registrato in Friuli Venezia Giulia (2,16)</w:t>
      </w:r>
      <w:r w:rsidRPr="00CC2BC5">
        <w:rPr>
          <w:rStyle w:val="Rimandonotaapidipagina"/>
          <w:rFonts w:ascii="DecimaWE Rg" w:hAnsi="DecimaWE Rg"/>
        </w:rPr>
        <w:footnoteReference w:id="12"/>
      </w:r>
      <w:r w:rsidRPr="00CC2BC5">
        <w:rPr>
          <w:rFonts w:ascii="DecimaWE Rg" w:hAnsi="DecimaWE Rg"/>
        </w:rPr>
        <w:t xml:space="preserve">. Le </w:t>
      </w:r>
      <w:r w:rsidRPr="006C3443">
        <w:rPr>
          <w:rFonts w:ascii="DecimaWE Rg" w:hAnsi="DecimaWE Rg"/>
        </w:rPr>
        <w:t>famiglie beneficiarie dei territori del pordenonese (ad eccezione dell’Ambito Valli e Dolomiti Friulane), quelle dell’Ambito Mediofriuli e dell’Ambito Carso Isonzo Adriatico risultano più “numerose” di quelle del resto della regione, con un numero medio di componenti per nucleo che raggiunge e supera le 3 unità. In aumento rispetto al 2017 gli Ambiti Mediofriuli e Carso Isonzo Adriatico che dal 2,7 e 2,8 passano rispettivamente al 3,2 e 3,1 componenti medi per nucleo.</w:t>
      </w:r>
    </w:p>
    <w:p w:rsidR="00DB2B10" w:rsidRDefault="00DB2B10" w:rsidP="00DB2B10">
      <w:pPr>
        <w:spacing w:after="0"/>
        <w:jc w:val="both"/>
        <w:rPr>
          <w:rFonts w:ascii="DecimaWE Rg" w:hAnsi="DecimaWE Rg"/>
        </w:rPr>
      </w:pPr>
    </w:p>
    <w:p w:rsidR="00DB2B10" w:rsidRPr="000149BE" w:rsidRDefault="00DB2B10" w:rsidP="00DB2B10">
      <w:pPr>
        <w:spacing w:after="0"/>
        <w:jc w:val="both"/>
        <w:rPr>
          <w:rFonts w:ascii="DecimaWE Rg" w:hAnsi="DecimaWE Rg"/>
          <w:highlight w:val="yellow"/>
        </w:rPr>
      </w:pPr>
      <w:r>
        <w:rPr>
          <w:rFonts w:ascii="DecimaWE Rg" w:hAnsi="DecimaWE Rg"/>
        </w:rPr>
        <w:t>La distribuzione dei componenti per età evidenzia che quasi un terzo dei beneficiari (2.224 in totale) risulta minoren</w:t>
      </w:r>
      <w:r w:rsidRPr="000149BE">
        <w:rPr>
          <w:rFonts w:ascii="DecimaWE Rg" w:hAnsi="DecimaWE Rg"/>
        </w:rPr>
        <w:t xml:space="preserve">ne, con un peso rispetto alla specifica popolazione di riferimento pari a </w:t>
      </w:r>
      <w:r>
        <w:rPr>
          <w:rFonts w:ascii="DecimaWE Rg" w:hAnsi="DecimaWE Rg"/>
        </w:rPr>
        <w:t>1,2</w:t>
      </w:r>
      <w:r w:rsidRPr="000149BE">
        <w:rPr>
          <w:rFonts w:ascii="DecimaWE Rg" w:hAnsi="DecimaWE Rg"/>
        </w:rPr>
        <w:t xml:space="preserve"> minori beneficiari della misura ogni 100 minori residenti in region</w:t>
      </w:r>
      <w:r>
        <w:rPr>
          <w:rFonts w:ascii="DecimaWE Rg" w:hAnsi="DecimaWE Rg"/>
        </w:rPr>
        <w:t xml:space="preserve">e. Dei minorenni </w:t>
      </w:r>
      <w:r w:rsidR="009B74D0">
        <w:rPr>
          <w:rFonts w:ascii="DecimaWE Rg" w:hAnsi="DecimaWE Rg"/>
        </w:rPr>
        <w:t xml:space="preserve">raggiunti, </w:t>
      </w:r>
      <w:r>
        <w:rPr>
          <w:rFonts w:ascii="DecimaWE Rg" w:hAnsi="DecimaWE Rg"/>
        </w:rPr>
        <w:t>il 37</w:t>
      </w:r>
      <w:r w:rsidRPr="000149BE">
        <w:rPr>
          <w:rFonts w:ascii="DecimaWE Rg" w:hAnsi="DecimaWE Rg"/>
        </w:rPr>
        <w:t xml:space="preserve">% </w:t>
      </w:r>
      <w:r>
        <w:rPr>
          <w:rFonts w:ascii="DecimaWE Rg" w:hAnsi="DecimaWE Rg"/>
        </w:rPr>
        <w:t>risulta in età prescolare, il 30</w:t>
      </w:r>
      <w:r w:rsidRPr="000149BE">
        <w:rPr>
          <w:rFonts w:ascii="DecimaWE Rg" w:hAnsi="DecimaWE Rg"/>
        </w:rPr>
        <w:t>% ha dai 6 ai 10 anni, il 16% dagli 11 ai 13</w:t>
      </w:r>
      <w:r>
        <w:rPr>
          <w:rFonts w:ascii="DecimaWE Rg" w:hAnsi="DecimaWE Rg"/>
        </w:rPr>
        <w:t xml:space="preserve"> anni e la restante quota del 17</w:t>
      </w:r>
      <w:r w:rsidRPr="000149BE">
        <w:rPr>
          <w:rFonts w:ascii="DecimaWE Rg" w:hAnsi="DecimaWE Rg"/>
        </w:rPr>
        <w:t>% dai 14</w:t>
      </w:r>
      <w:r>
        <w:rPr>
          <w:rFonts w:ascii="DecimaWE Rg" w:hAnsi="DecimaWE Rg"/>
        </w:rPr>
        <w:t xml:space="preserve"> ai 17 anni. Il dato relativo al totale dei minori raggiunti nella fase di prima sperimentazione della MIA evidenzia un risultato</w:t>
      </w:r>
      <w:r w:rsidRPr="00344A13">
        <w:rPr>
          <w:rFonts w:ascii="DecimaWE Rg" w:hAnsi="DecimaWE Rg"/>
        </w:rPr>
        <w:t xml:space="preserve"> particolarmente significativo e coerente con gli obiettivi di Europa 2020</w:t>
      </w:r>
      <w:r>
        <w:rPr>
          <w:rFonts w:ascii="DecimaWE Rg" w:hAnsi="DecimaWE Rg"/>
        </w:rPr>
        <w:t>,</w:t>
      </w:r>
      <w:r w:rsidRPr="009448D1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>che pon</w:t>
      </w:r>
      <w:r w:rsidR="009B74D0">
        <w:rPr>
          <w:rFonts w:ascii="DecimaWE Rg" w:hAnsi="DecimaWE Rg"/>
        </w:rPr>
        <w:t>gono</w:t>
      </w:r>
      <w:r>
        <w:rPr>
          <w:rFonts w:ascii="DecimaWE Rg" w:hAnsi="DecimaWE Rg"/>
        </w:rPr>
        <w:t xml:space="preserve"> l</w:t>
      </w:r>
      <w:r w:rsidRPr="00344A13">
        <w:rPr>
          <w:rFonts w:ascii="DecimaWE Rg" w:hAnsi="DecimaWE Rg"/>
        </w:rPr>
        <w:t>a lotta alla povertà e all'esclusione sociale dei minori tra le sfide prioritarie individuate nella "Piattaforma europea contro le povertà"</w:t>
      </w:r>
      <w:r>
        <w:rPr>
          <w:rFonts w:ascii="DecimaWE Rg" w:hAnsi="DecimaWE Rg"/>
        </w:rPr>
        <w:t xml:space="preserve">. </w:t>
      </w:r>
    </w:p>
    <w:p w:rsidR="00DB2B10" w:rsidRPr="0065578E" w:rsidRDefault="00DB2B10" w:rsidP="00DB2B10">
      <w:pPr>
        <w:spacing w:after="0"/>
        <w:jc w:val="both"/>
        <w:rPr>
          <w:rFonts w:ascii="DecimaWE Rg" w:hAnsi="DecimaWE Rg"/>
        </w:rPr>
      </w:pPr>
      <w:r>
        <w:rPr>
          <w:rFonts w:ascii="DecimaWE Rg" w:hAnsi="DecimaWE Rg"/>
        </w:rPr>
        <w:t>I giovani dai 18 ai 34 anni rappresentano il 22</w:t>
      </w:r>
      <w:r w:rsidRPr="00E14F1C">
        <w:rPr>
          <w:rFonts w:ascii="DecimaWE Rg" w:hAnsi="DecimaWE Rg"/>
        </w:rPr>
        <w:t>% d</w:t>
      </w:r>
      <w:r>
        <w:rPr>
          <w:rFonts w:ascii="DecimaWE Rg" w:hAnsi="DecimaWE Rg"/>
        </w:rPr>
        <w:t>ei componenti beneficiari (1.476), g</w:t>
      </w:r>
      <w:r w:rsidRPr="00E14F1C">
        <w:rPr>
          <w:rFonts w:ascii="DecimaWE Rg" w:hAnsi="DecimaWE Rg"/>
        </w:rPr>
        <w:t>li adu</w:t>
      </w:r>
      <w:r>
        <w:rPr>
          <w:rFonts w:ascii="DecimaWE Rg" w:hAnsi="DecimaWE Rg"/>
        </w:rPr>
        <w:t>lti dai 35 ai 64 anni sono il 40% (2.715) dei componenti beneficiari e gli anziani il 5% (318). L</w:t>
      </w:r>
      <w:r w:rsidRPr="00E14F1C">
        <w:rPr>
          <w:rFonts w:ascii="DecimaWE Rg" w:hAnsi="DecimaWE Rg"/>
        </w:rPr>
        <w:t xml:space="preserve">’incidenza </w:t>
      </w:r>
      <w:r>
        <w:rPr>
          <w:rFonts w:ascii="DecimaWE Rg" w:hAnsi="DecimaWE Rg"/>
        </w:rPr>
        <w:t xml:space="preserve">dei componenti beneficiari </w:t>
      </w:r>
      <w:r w:rsidRPr="00E14F1C">
        <w:rPr>
          <w:rFonts w:ascii="DecimaWE Rg" w:hAnsi="DecimaWE Rg"/>
        </w:rPr>
        <w:t xml:space="preserve">rispetto alla </w:t>
      </w:r>
      <w:r>
        <w:rPr>
          <w:rFonts w:ascii="DecimaWE Rg" w:hAnsi="DecimaWE Rg"/>
        </w:rPr>
        <w:t>relativa popolazione di riferimento</w:t>
      </w:r>
      <w:r w:rsidRPr="00E14F1C">
        <w:rPr>
          <w:rFonts w:ascii="DecimaWE Rg" w:hAnsi="DecimaWE Rg"/>
        </w:rPr>
        <w:t xml:space="preserve"> si abbassa al cr</w:t>
      </w:r>
      <w:r>
        <w:rPr>
          <w:rFonts w:ascii="DecimaWE Rg" w:hAnsi="DecimaWE Rg"/>
        </w:rPr>
        <w:t>escere dell’età, passando da 1,2</w:t>
      </w:r>
      <w:r w:rsidRPr="00E14F1C">
        <w:rPr>
          <w:rFonts w:ascii="DecimaWE Rg" w:hAnsi="DecimaWE Rg"/>
        </w:rPr>
        <w:t xml:space="preserve"> componenti beneficiari ogni 100 resid</w:t>
      </w:r>
      <w:r>
        <w:rPr>
          <w:rFonts w:ascii="DecimaWE Rg" w:hAnsi="DecimaWE Rg"/>
        </w:rPr>
        <w:t>enti con riferimento ai minori, a 0,1%</w:t>
      </w:r>
      <w:r w:rsidRPr="00E14F1C">
        <w:rPr>
          <w:rFonts w:ascii="DecimaWE Rg" w:hAnsi="DecimaWE Rg"/>
        </w:rPr>
        <w:t xml:space="preserve"> componenti beneficiari ogni 100 residenti tra </w:t>
      </w:r>
      <w:r>
        <w:rPr>
          <w:rFonts w:ascii="DecimaWE Rg" w:hAnsi="DecimaWE Rg"/>
        </w:rPr>
        <w:t xml:space="preserve">gli anziani dai 65 </w:t>
      </w:r>
      <w:r w:rsidRPr="0065578E">
        <w:rPr>
          <w:rFonts w:ascii="DecimaWE Rg" w:hAnsi="DecimaWE Rg"/>
        </w:rPr>
        <w:t xml:space="preserve">anni in su, coerentemente con lo spirito della misura. La distribuzione dei componenti beneficiari per classe d’età, come già rilevato nei precedenti monitoraggi, risulta coerente con </w:t>
      </w:r>
      <w:r w:rsidR="001943C4">
        <w:rPr>
          <w:rFonts w:ascii="DecimaWE Rg" w:hAnsi="DecimaWE Rg"/>
        </w:rPr>
        <w:t>quella</w:t>
      </w:r>
      <w:r w:rsidRPr="0065578E">
        <w:rPr>
          <w:rFonts w:ascii="DecimaWE Rg" w:hAnsi="DecimaWE Rg"/>
        </w:rPr>
        <w:t xml:space="preserve"> della povertà assoluta e relativa in Italia e in regione, che evidenzia una maggior incidenza della condizione di povertà tra le famiglie con figli, soprattutto tra quelle giovani, e diminuisce all’avanzare dell’età</w:t>
      </w:r>
      <w:r w:rsidRPr="0065578E">
        <w:rPr>
          <w:rStyle w:val="Rimandonotaapidipagina"/>
          <w:rFonts w:ascii="DecimaWE Rg" w:hAnsi="DecimaWE Rg"/>
        </w:rPr>
        <w:footnoteReference w:id="13"/>
      </w:r>
      <w:r w:rsidRPr="0065578E">
        <w:rPr>
          <w:rFonts w:ascii="DecimaWE Rg" w:hAnsi="DecimaWE Rg"/>
        </w:rPr>
        <w:t xml:space="preserve">.  </w:t>
      </w:r>
    </w:p>
    <w:p w:rsidR="00DB2B10" w:rsidRPr="001C2513" w:rsidRDefault="00DB2B10" w:rsidP="00DB2B10">
      <w:pPr>
        <w:spacing w:after="0"/>
        <w:jc w:val="both"/>
        <w:rPr>
          <w:rFonts w:ascii="DecimaWE Rg" w:hAnsi="DecimaWE Rg"/>
        </w:rPr>
      </w:pPr>
    </w:p>
    <w:p w:rsidR="00DB2B10" w:rsidRDefault="00DB2B10" w:rsidP="00471ACF">
      <w:pPr>
        <w:spacing w:after="0" w:line="240" w:lineRule="auto"/>
        <w:jc w:val="both"/>
        <w:rPr>
          <w:rFonts w:ascii="DecimaWE Rg" w:hAnsi="DecimaWE Rg"/>
          <w:i/>
          <w:sz w:val="20"/>
        </w:rPr>
      </w:pPr>
      <w:r w:rsidRPr="001C2513">
        <w:rPr>
          <w:rFonts w:ascii="DecimaWE Rg" w:hAnsi="DecimaWE Rg"/>
          <w:i/>
          <w:sz w:val="20"/>
        </w:rPr>
        <w:t xml:space="preserve">Graf. 5 – Distribuzione dei componenti i nuclei beneficiari per classe d’età (valore assoluto) e incidenza percentuale rispetto alla popolazione residente della stessa classe d’età. </w:t>
      </w:r>
    </w:p>
    <w:p w:rsidR="00DB2B10" w:rsidRPr="001C2513" w:rsidRDefault="00DB2B10" w:rsidP="00DB2B10">
      <w:pPr>
        <w:spacing w:after="0" w:line="240" w:lineRule="auto"/>
        <w:rPr>
          <w:rFonts w:ascii="DecimaWE Rg" w:hAnsi="DecimaWE Rg"/>
          <w:i/>
          <w:sz w:val="20"/>
        </w:rPr>
      </w:pPr>
      <w:r>
        <w:rPr>
          <w:rFonts w:ascii="DecimaWE Rg" w:hAnsi="DecimaWE Rg"/>
          <w:i/>
          <w:noProof/>
          <w:sz w:val="20"/>
          <w:lang w:eastAsia="it-IT"/>
        </w:rPr>
        <w:drawing>
          <wp:inline distT="0" distB="0" distL="0" distR="0" wp14:anchorId="7781741D" wp14:editId="3C508295">
            <wp:extent cx="4874149" cy="2148797"/>
            <wp:effectExtent l="0" t="0" r="3175" b="444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556" cy="2151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2B10" w:rsidRPr="001C2513" w:rsidRDefault="00DB2B10" w:rsidP="00DB2B10">
      <w:pPr>
        <w:spacing w:after="0"/>
        <w:jc w:val="both"/>
        <w:rPr>
          <w:rFonts w:ascii="DecimaWE Rg" w:hAnsi="DecimaWE Rg"/>
          <w:i/>
          <w:sz w:val="18"/>
        </w:rPr>
      </w:pPr>
      <w:r w:rsidRPr="001C2513">
        <w:rPr>
          <w:rFonts w:ascii="DecimaWE Rg" w:hAnsi="DecimaWE Rg"/>
          <w:i/>
          <w:sz w:val="18"/>
        </w:rPr>
        <w:t>Fon</w:t>
      </w:r>
      <w:r>
        <w:rPr>
          <w:rFonts w:ascii="DecimaWE Rg" w:hAnsi="DecimaWE Rg"/>
          <w:i/>
          <w:sz w:val="18"/>
        </w:rPr>
        <w:t>te: SI</w:t>
      </w:r>
      <w:r w:rsidR="009D7844">
        <w:rPr>
          <w:rFonts w:ascii="DecimaWE Rg" w:hAnsi="DecimaWE Rg"/>
          <w:i/>
          <w:sz w:val="18"/>
        </w:rPr>
        <w:t>MIA domande dal 01/01/2018 al 22/10</w:t>
      </w:r>
      <w:r>
        <w:rPr>
          <w:rFonts w:ascii="DecimaWE Rg" w:hAnsi="DecimaWE Rg"/>
          <w:i/>
          <w:sz w:val="18"/>
        </w:rPr>
        <w:t>/2018</w:t>
      </w:r>
      <w:r w:rsidRPr="00A97357">
        <w:rPr>
          <w:rFonts w:ascii="DecimaWE Rg" w:hAnsi="DecimaWE Rg"/>
          <w:i/>
          <w:sz w:val="18"/>
        </w:rPr>
        <w:t xml:space="preserve">, estrazione dati al 3/05/19. </w:t>
      </w:r>
      <w:proofErr w:type="spellStart"/>
      <w:r w:rsidRPr="00A97357">
        <w:rPr>
          <w:rFonts w:ascii="DecimaWE Rg" w:hAnsi="DecimaWE Rg"/>
          <w:i/>
          <w:sz w:val="18"/>
        </w:rPr>
        <w:t>DemoIstat</w:t>
      </w:r>
      <w:proofErr w:type="spellEnd"/>
      <w:r w:rsidRPr="00A97357">
        <w:rPr>
          <w:rFonts w:ascii="DecimaWE Rg" w:hAnsi="DecimaWE Rg"/>
          <w:i/>
          <w:sz w:val="18"/>
        </w:rPr>
        <w:t xml:space="preserve"> </w:t>
      </w:r>
      <w:r w:rsidRPr="001C2513">
        <w:rPr>
          <w:rFonts w:ascii="DecimaWE Rg" w:hAnsi="DecimaWE Rg"/>
          <w:i/>
          <w:sz w:val="18"/>
        </w:rPr>
        <w:t>pop</w:t>
      </w:r>
      <w:r>
        <w:rPr>
          <w:rFonts w:ascii="DecimaWE Rg" w:hAnsi="DecimaWE Rg"/>
          <w:i/>
          <w:sz w:val="18"/>
        </w:rPr>
        <w:t>olazione residente al 01.01.2018</w:t>
      </w:r>
      <w:r w:rsidRPr="001C2513">
        <w:rPr>
          <w:rFonts w:ascii="DecimaWE Rg" w:hAnsi="DecimaWE Rg"/>
          <w:i/>
          <w:sz w:val="18"/>
        </w:rPr>
        <w:t>.</w:t>
      </w:r>
    </w:p>
    <w:p w:rsidR="00DB2B10" w:rsidRPr="00E37D84" w:rsidRDefault="00DB2B10" w:rsidP="00DB2B10">
      <w:pPr>
        <w:spacing w:after="0"/>
        <w:jc w:val="both"/>
        <w:rPr>
          <w:rFonts w:ascii="DecimaWE Rg" w:hAnsi="DecimaWE Rg"/>
          <w:strike/>
        </w:rPr>
      </w:pPr>
    </w:p>
    <w:p w:rsidR="00DB2B10" w:rsidRDefault="00DB2B10" w:rsidP="00DB2B10">
      <w:pPr>
        <w:spacing w:after="0"/>
        <w:jc w:val="both"/>
        <w:rPr>
          <w:rFonts w:ascii="DecimaWE Rg" w:hAnsi="DecimaWE Rg"/>
          <w:color w:val="FF0000"/>
        </w:rPr>
      </w:pPr>
      <w:r>
        <w:rPr>
          <w:rFonts w:ascii="DecimaWE Rg" w:hAnsi="DecimaWE Rg"/>
        </w:rPr>
        <w:t>Ripartendo i</w:t>
      </w:r>
      <w:r w:rsidRPr="00344A13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 xml:space="preserve">nuclei </w:t>
      </w:r>
      <w:r w:rsidRPr="00344A13">
        <w:rPr>
          <w:rFonts w:ascii="DecimaWE Rg" w:hAnsi="DecimaWE Rg"/>
        </w:rPr>
        <w:t xml:space="preserve">beneficiari per numero di componenti </w:t>
      </w:r>
      <w:r>
        <w:rPr>
          <w:rFonts w:ascii="DecimaWE Rg" w:hAnsi="DecimaWE Rg"/>
        </w:rPr>
        <w:t>degli stessi</w:t>
      </w:r>
      <w:r w:rsidR="001943C4">
        <w:rPr>
          <w:rFonts w:ascii="DecimaWE Rg" w:hAnsi="DecimaWE Rg"/>
        </w:rPr>
        <w:t>,</w:t>
      </w:r>
      <w:r w:rsidRPr="00344A13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 xml:space="preserve">si evidenzia che </w:t>
      </w:r>
      <w:r w:rsidRPr="00E07566">
        <w:rPr>
          <w:rFonts w:ascii="DecimaWE Rg" w:hAnsi="DecimaWE Rg"/>
        </w:rPr>
        <w:t xml:space="preserve">il </w:t>
      </w:r>
      <w:r>
        <w:rPr>
          <w:rFonts w:ascii="DecimaWE Rg" w:hAnsi="DecimaWE Rg"/>
        </w:rPr>
        <w:t>34</w:t>
      </w:r>
      <w:r w:rsidRPr="00E07566">
        <w:rPr>
          <w:rFonts w:ascii="DecimaWE Rg" w:hAnsi="DecimaWE Rg"/>
        </w:rPr>
        <w:t>% delle famiglie</w:t>
      </w:r>
      <w:r w:rsidRPr="00344A13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>beneficiarie della misura è unipersonale</w:t>
      </w:r>
      <w:r w:rsidRPr="00990056">
        <w:rPr>
          <w:rFonts w:ascii="DecimaWE Rg" w:hAnsi="DecimaWE Rg"/>
        </w:rPr>
        <w:t xml:space="preserve"> (in sensibile calo rispetto al monitoraggio riferito ai nuclei beneficiari </w:t>
      </w:r>
      <w:r w:rsidRPr="00990056">
        <w:rPr>
          <w:rFonts w:ascii="DecimaWE Rg" w:hAnsi="DecimaWE Rg"/>
        </w:rPr>
        <w:lastRenderedPageBreak/>
        <w:t xml:space="preserve">2016/2017, pari al 38%), </w:t>
      </w:r>
      <w:r w:rsidRPr="007225A2">
        <w:rPr>
          <w:rFonts w:ascii="DecimaWE Rg" w:hAnsi="DecimaWE Rg"/>
        </w:rPr>
        <w:t xml:space="preserve">con un maggior peso registrato </w:t>
      </w:r>
      <w:r w:rsidRPr="008135C8">
        <w:rPr>
          <w:rFonts w:ascii="DecimaWE Rg" w:hAnsi="DecimaWE Rg"/>
        </w:rPr>
        <w:t>nell’Ambito Triestino (43% dei nuclei beneficiari è unipersonale),</w:t>
      </w:r>
      <w:r>
        <w:rPr>
          <w:rFonts w:ascii="DecimaWE Rg" w:hAnsi="DecimaWE Rg"/>
        </w:rPr>
        <w:t xml:space="preserve"> nel Gemonese (47%), in Carnia (55%) e nel Torre (44%).</w:t>
      </w:r>
    </w:p>
    <w:p w:rsidR="00DB2B10" w:rsidRPr="001A27A0" w:rsidRDefault="00DB2B10" w:rsidP="00DB2B10">
      <w:pPr>
        <w:spacing w:after="0"/>
        <w:jc w:val="both"/>
        <w:rPr>
          <w:rFonts w:ascii="DecimaWE Rg" w:hAnsi="DecimaWE Rg"/>
        </w:rPr>
      </w:pPr>
      <w:r w:rsidRPr="006D436A">
        <w:rPr>
          <w:rFonts w:ascii="DecimaWE Rg" w:hAnsi="DecimaWE Rg"/>
        </w:rPr>
        <w:t>Delle restanti famiglie beneficiarie</w:t>
      </w:r>
      <w:r w:rsidR="001943C4">
        <w:rPr>
          <w:rFonts w:ascii="DecimaWE Rg" w:hAnsi="DecimaWE Rg"/>
        </w:rPr>
        <w:t>,</w:t>
      </w:r>
      <w:r w:rsidRPr="006D436A">
        <w:rPr>
          <w:rFonts w:ascii="DecimaWE Rg" w:hAnsi="DecimaWE Rg"/>
        </w:rPr>
        <w:t xml:space="preserve"> il 19% risulta cos</w:t>
      </w:r>
      <w:r>
        <w:rPr>
          <w:rFonts w:ascii="DecimaWE Rg" w:hAnsi="DecimaWE Rg"/>
        </w:rPr>
        <w:t xml:space="preserve">tituito da </w:t>
      </w:r>
      <w:r w:rsidRPr="001A27A0">
        <w:rPr>
          <w:rFonts w:ascii="DecimaWE Rg" w:hAnsi="DecimaWE Rg"/>
        </w:rPr>
        <w:t xml:space="preserve">due componenti, il 32% da tre o quattro componenti e il 15% da cinque e più componenti; i nuclei più numerosi presentano </w:t>
      </w:r>
      <w:r w:rsidR="001943C4">
        <w:rPr>
          <w:rFonts w:ascii="DecimaWE Rg" w:hAnsi="DecimaWE Rg"/>
        </w:rPr>
        <w:t xml:space="preserve">una </w:t>
      </w:r>
      <w:r w:rsidRPr="001A27A0">
        <w:rPr>
          <w:rFonts w:ascii="DecimaWE Rg" w:hAnsi="DecimaWE Rg"/>
        </w:rPr>
        <w:t>maggiore incidenza nel pordenonese, nel territorio Car</w:t>
      </w:r>
      <w:r>
        <w:rPr>
          <w:rFonts w:ascii="DecimaWE Rg" w:hAnsi="DecimaWE Rg"/>
        </w:rPr>
        <w:t>so Isonzo Adriatico e nel Mediofriuli</w:t>
      </w:r>
      <w:r w:rsidRPr="001A27A0">
        <w:rPr>
          <w:rFonts w:ascii="DecimaWE Rg" w:hAnsi="DecimaWE Rg"/>
        </w:rPr>
        <w:t>.</w:t>
      </w:r>
    </w:p>
    <w:p w:rsidR="00DB2B10" w:rsidRPr="001A27A0" w:rsidRDefault="00DB2B10" w:rsidP="00DB2B10">
      <w:pPr>
        <w:spacing w:after="0"/>
        <w:jc w:val="both"/>
        <w:rPr>
          <w:rFonts w:ascii="DecimaWE Rg" w:hAnsi="DecimaWE Rg"/>
        </w:rPr>
      </w:pPr>
      <w:r w:rsidRPr="001A27A0">
        <w:rPr>
          <w:rFonts w:ascii="DecimaWE Rg" w:hAnsi="DecimaWE Rg"/>
        </w:rPr>
        <w:t>I nuclei unipersonali sono solo in minima parte rappresentati da anziani (12%); la maggior parte è costituita da persone sole</w:t>
      </w:r>
      <w:r w:rsidR="001943C4">
        <w:rPr>
          <w:rFonts w:ascii="DecimaWE Rg" w:hAnsi="DecimaWE Rg"/>
        </w:rPr>
        <w:t>,</w:t>
      </w:r>
      <w:r w:rsidRPr="001A27A0">
        <w:rPr>
          <w:rFonts w:ascii="DecimaWE Rg" w:hAnsi="DecimaWE Rg"/>
        </w:rPr>
        <w:t xml:space="preserve"> in prevalenza dai 45 ai 64 anni (60%), con cittadinanza italiana (84%)</w:t>
      </w:r>
      <w:r w:rsidR="005431F4">
        <w:rPr>
          <w:rFonts w:ascii="DecimaWE Rg" w:hAnsi="DecimaWE Rg"/>
        </w:rPr>
        <w:t xml:space="preserve"> </w:t>
      </w:r>
      <w:r w:rsidRPr="001A27A0">
        <w:rPr>
          <w:rFonts w:ascii="DecimaWE Rg" w:hAnsi="DecimaWE Rg"/>
        </w:rPr>
        <w:t xml:space="preserve">e con una leggera prevalenza della componente maschile (52%). Nella metà dei casi si tratta di disoccupati, il 14% risulta pensionato, mentre un quarto dei beneficiari soli rientra nella categoria dei lavoratori poveri. </w:t>
      </w:r>
    </w:p>
    <w:p w:rsidR="00DB2B10" w:rsidRPr="00344A13" w:rsidRDefault="00DB2B10" w:rsidP="00DB2B10">
      <w:pPr>
        <w:spacing w:after="0"/>
        <w:jc w:val="both"/>
        <w:rPr>
          <w:rFonts w:ascii="DecimaWE Rg" w:hAnsi="DecimaWE Rg"/>
        </w:rPr>
      </w:pPr>
      <w:r w:rsidRPr="00344A13">
        <w:rPr>
          <w:rFonts w:ascii="DecimaWE Rg" w:hAnsi="DecimaWE Rg"/>
        </w:rPr>
        <w:t>Nel complesso, tra i nuclei beneficiari prevalgono le famiglie con figli</w:t>
      </w:r>
      <w:r w:rsidRPr="004A5EE1">
        <w:rPr>
          <w:rFonts w:ascii="DecimaWE Rg" w:hAnsi="DecimaWE Rg"/>
        </w:rPr>
        <w:t xml:space="preserve">, che rappresentano il 56% del totale (1.395 nuclei); di queste l’82% (1.144 nuclei) ha al suo interno almeno un figlio minorenne. Si stima inoltre che il 16,5% circa delle famiglie con figli siano nuclei </w:t>
      </w:r>
      <w:proofErr w:type="spellStart"/>
      <w:r w:rsidRPr="004A5EE1">
        <w:rPr>
          <w:rFonts w:ascii="DecimaWE Rg" w:hAnsi="DecimaWE Rg"/>
        </w:rPr>
        <w:t>monogenitoriali</w:t>
      </w:r>
      <w:proofErr w:type="spellEnd"/>
      <w:r w:rsidRPr="004A5EE1">
        <w:rPr>
          <w:rFonts w:ascii="DecimaWE Rg" w:hAnsi="DecimaWE Rg"/>
        </w:rPr>
        <w:t xml:space="preserve">. </w:t>
      </w:r>
      <w:r>
        <w:rPr>
          <w:rFonts w:ascii="DecimaWE Rg" w:hAnsi="DecimaWE Rg"/>
        </w:rPr>
        <w:t>Seguono i nuclei unipersonali (34%), mentre il restante 10</w:t>
      </w:r>
      <w:r w:rsidRPr="00E07566">
        <w:rPr>
          <w:rFonts w:ascii="DecimaWE Rg" w:hAnsi="DecimaWE Rg"/>
        </w:rPr>
        <w:t>% dei nuclei</w:t>
      </w:r>
      <w:r>
        <w:rPr>
          <w:rFonts w:ascii="DecimaWE Rg" w:hAnsi="DecimaWE Rg"/>
        </w:rPr>
        <w:t xml:space="preserve"> beneficiari è costituito da famiglie senza figli. </w:t>
      </w:r>
    </w:p>
    <w:p w:rsidR="00DB2B10" w:rsidRPr="003C1EF7" w:rsidRDefault="00DB2B10" w:rsidP="00DB2B10">
      <w:pPr>
        <w:spacing w:after="0"/>
        <w:jc w:val="both"/>
        <w:rPr>
          <w:rFonts w:ascii="DecimaWE Rg" w:hAnsi="DecimaWE Rg"/>
          <w:color w:val="FF0000"/>
        </w:rPr>
      </w:pPr>
      <w:r w:rsidRPr="00344A13">
        <w:rPr>
          <w:rFonts w:ascii="DecimaWE Rg" w:hAnsi="DecimaWE Rg"/>
        </w:rPr>
        <w:t>Le famiglie con due o più figli</w:t>
      </w:r>
      <w:r>
        <w:rPr>
          <w:rFonts w:ascii="DecimaWE Rg" w:hAnsi="DecimaWE Rg"/>
        </w:rPr>
        <w:t>, che a livello regionale rappresentano il 33</w:t>
      </w:r>
      <w:r w:rsidRPr="00FE2570">
        <w:rPr>
          <w:rFonts w:ascii="DecimaWE Rg" w:hAnsi="DecimaWE Rg"/>
        </w:rPr>
        <w:t>%</w:t>
      </w:r>
      <w:r>
        <w:rPr>
          <w:rFonts w:ascii="DecimaWE Rg" w:hAnsi="DecimaWE Rg"/>
        </w:rPr>
        <w:t xml:space="preserve"> dei nuclei </w:t>
      </w:r>
      <w:r w:rsidRPr="000E6B48">
        <w:rPr>
          <w:rFonts w:ascii="DecimaWE Rg" w:hAnsi="DecimaWE Rg"/>
        </w:rPr>
        <w:t>beneficiari, risultano avere una maggiore incidenza nei territori del Pordenonese, dove raggiun</w:t>
      </w:r>
      <w:r w:rsidR="00F13189">
        <w:rPr>
          <w:rFonts w:ascii="DecimaWE Rg" w:hAnsi="DecimaWE Rg"/>
        </w:rPr>
        <w:t xml:space="preserve">gono la quota del 52% </w:t>
      </w:r>
      <w:r w:rsidRPr="000E6B48">
        <w:rPr>
          <w:rFonts w:ascii="DecimaWE Rg" w:hAnsi="DecimaWE Rg"/>
        </w:rPr>
        <w:t>nell’Ambito Sile e Meduna, del 53% in quello Livenza-Cansiglio-Cavallo e supera</w:t>
      </w:r>
      <w:r>
        <w:rPr>
          <w:rFonts w:ascii="DecimaWE Rg" w:hAnsi="DecimaWE Rg"/>
        </w:rPr>
        <w:t>no</w:t>
      </w:r>
      <w:r w:rsidRPr="000E6B48">
        <w:rPr>
          <w:rFonts w:ascii="DecimaWE Rg" w:hAnsi="DecimaWE Rg"/>
        </w:rPr>
        <w:t xml:space="preserve"> il 40% negli ambiti Valli e Dolomiti </w:t>
      </w:r>
      <w:r w:rsidR="005431F4">
        <w:rPr>
          <w:rFonts w:ascii="DecimaWE Rg" w:hAnsi="DecimaWE Rg"/>
        </w:rPr>
        <w:t>friulane, Noncello e</w:t>
      </w:r>
      <w:r>
        <w:rPr>
          <w:rFonts w:ascii="DecimaWE Rg" w:hAnsi="DecimaWE Rg"/>
        </w:rPr>
        <w:t xml:space="preserve"> Tagliamento. I</w:t>
      </w:r>
      <w:r w:rsidRPr="000E6B48">
        <w:rPr>
          <w:rFonts w:ascii="DecimaWE Rg" w:hAnsi="DecimaWE Rg"/>
        </w:rPr>
        <w:t>noltre</w:t>
      </w:r>
      <w:r w:rsidR="001943C4">
        <w:rPr>
          <w:rFonts w:ascii="DecimaWE Rg" w:hAnsi="DecimaWE Rg"/>
        </w:rPr>
        <w:t>,</w:t>
      </w:r>
      <w:r>
        <w:rPr>
          <w:rFonts w:ascii="DecimaWE Rg" w:hAnsi="DecimaWE Rg"/>
        </w:rPr>
        <w:t xml:space="preserve"> rispetto </w:t>
      </w:r>
      <w:r w:rsidR="001943C4">
        <w:rPr>
          <w:rFonts w:ascii="DecimaWE Rg" w:hAnsi="DecimaWE Rg"/>
        </w:rPr>
        <w:t>a</w:t>
      </w:r>
      <w:r>
        <w:rPr>
          <w:rFonts w:ascii="DecimaWE Rg" w:hAnsi="DecimaWE Rg"/>
        </w:rPr>
        <w:t xml:space="preserve">l 2017 </w:t>
      </w:r>
      <w:r w:rsidRPr="008135C8">
        <w:rPr>
          <w:rFonts w:ascii="DecimaWE Rg" w:hAnsi="DecimaWE Rg"/>
        </w:rPr>
        <w:t xml:space="preserve">i nuclei con due o più figli aumentano </w:t>
      </w:r>
      <w:r w:rsidRPr="000E6B48">
        <w:rPr>
          <w:rFonts w:ascii="DecimaWE Rg" w:hAnsi="DecimaWE Rg"/>
        </w:rPr>
        <w:t>negli ambiti Mediofriuli e Carso Isonzo Adriatico passando rispettivamente dal 33% e 37% al 45% e 43% nel 2018.</w:t>
      </w:r>
    </w:p>
    <w:p w:rsidR="00DB2B10" w:rsidRDefault="00DB2B10" w:rsidP="00DB2B10">
      <w:pPr>
        <w:spacing w:after="0"/>
        <w:jc w:val="both"/>
        <w:rPr>
          <w:rFonts w:ascii="DecimaWE Rg" w:hAnsi="DecimaWE Rg"/>
        </w:rPr>
      </w:pPr>
    </w:p>
    <w:p w:rsidR="00DB2B10" w:rsidRDefault="00DB2B10" w:rsidP="00DB2B10">
      <w:pPr>
        <w:spacing w:after="0" w:line="240" w:lineRule="auto"/>
        <w:jc w:val="both"/>
        <w:rPr>
          <w:rFonts w:ascii="DecimaWE Rg" w:hAnsi="DecimaWE Rg"/>
          <w:i/>
          <w:sz w:val="20"/>
        </w:rPr>
      </w:pPr>
      <w:r>
        <w:rPr>
          <w:rFonts w:ascii="DecimaWE Rg" w:hAnsi="DecimaWE Rg"/>
          <w:i/>
          <w:sz w:val="20"/>
        </w:rPr>
        <w:t>Graf. 6 – Distribuzione dei nuclei beneficiari (tot. 2.498) per tipologia di famiglia e numero di figli</w:t>
      </w:r>
      <w:r w:rsidRPr="00344A13">
        <w:rPr>
          <w:rFonts w:ascii="DecimaWE Rg" w:hAnsi="DecimaWE Rg"/>
          <w:i/>
          <w:sz w:val="20"/>
        </w:rPr>
        <w:t xml:space="preserve">. </w:t>
      </w:r>
    </w:p>
    <w:p w:rsidR="00875866" w:rsidRDefault="00875866" w:rsidP="00DB2B10">
      <w:pPr>
        <w:spacing w:after="0" w:line="240" w:lineRule="auto"/>
        <w:jc w:val="both"/>
        <w:rPr>
          <w:rFonts w:ascii="DecimaWE Rg" w:hAnsi="DecimaWE Rg"/>
          <w:i/>
          <w:sz w:val="20"/>
        </w:rPr>
      </w:pPr>
      <w:r>
        <w:rPr>
          <w:rFonts w:ascii="DecimaWE Rg" w:hAnsi="DecimaWE Rg"/>
          <w:i/>
          <w:noProof/>
          <w:sz w:val="20"/>
          <w:lang w:eastAsia="it-IT"/>
        </w:rPr>
        <w:drawing>
          <wp:inline distT="0" distB="0" distL="0" distR="0" wp14:anchorId="5237EBBC">
            <wp:extent cx="4152900" cy="2255940"/>
            <wp:effectExtent l="0" t="0" r="0" b="0"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60" cy="2260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2B10" w:rsidRDefault="00534D68" w:rsidP="00DB2B10">
      <w:pPr>
        <w:spacing w:after="0"/>
        <w:jc w:val="both"/>
        <w:rPr>
          <w:rFonts w:ascii="DecimaWE Rg" w:hAnsi="DecimaWE Rg"/>
          <w:i/>
          <w:sz w:val="18"/>
        </w:rPr>
      </w:pPr>
      <w:r w:rsidRPr="009A7F7B">
        <w:rPr>
          <w:rFonts w:ascii="DecimaWE Rg" w:hAnsi="DecimaWE Rg"/>
          <w:i/>
          <w:sz w:val="18"/>
        </w:rPr>
        <w:t xml:space="preserve">Fonte: SIMIA – domande </w:t>
      </w:r>
      <w:r>
        <w:rPr>
          <w:rFonts w:ascii="DecimaWE Rg" w:hAnsi="DecimaWE Rg"/>
          <w:i/>
          <w:sz w:val="18"/>
        </w:rPr>
        <w:t>registrate dal 01/01/2018 al 22/</w:t>
      </w:r>
      <w:r w:rsidRPr="009A7F7B">
        <w:rPr>
          <w:rFonts w:ascii="DecimaWE Rg" w:hAnsi="DecimaWE Rg"/>
          <w:i/>
          <w:sz w:val="18"/>
        </w:rPr>
        <w:t>10/2018, estrazione dati al 03/05/2019.</w:t>
      </w:r>
      <w:r>
        <w:rPr>
          <w:rFonts w:ascii="DecimaWE Rg" w:hAnsi="DecimaWE Rg"/>
          <w:i/>
          <w:sz w:val="18"/>
        </w:rPr>
        <w:t>.</w:t>
      </w:r>
    </w:p>
    <w:p w:rsidR="00534D68" w:rsidRDefault="00534D68" w:rsidP="00DB2B10">
      <w:pPr>
        <w:spacing w:after="0"/>
        <w:jc w:val="both"/>
        <w:rPr>
          <w:rFonts w:ascii="DecimaWE Rg" w:hAnsi="DecimaWE Rg"/>
          <w:i/>
          <w:sz w:val="18"/>
        </w:rPr>
      </w:pPr>
    </w:p>
    <w:p w:rsidR="00DB2B10" w:rsidRPr="0058187B" w:rsidRDefault="00DB2B10" w:rsidP="00DB2B10">
      <w:pPr>
        <w:spacing w:after="0"/>
        <w:jc w:val="both"/>
        <w:rPr>
          <w:rFonts w:ascii="DecimaWE Rg" w:hAnsi="DecimaWE Rg"/>
        </w:rPr>
      </w:pPr>
      <w:r w:rsidRPr="0058187B">
        <w:rPr>
          <w:rFonts w:ascii="DecimaWE Rg" w:hAnsi="DecimaWE Rg"/>
        </w:rPr>
        <w:t xml:space="preserve">I nuclei beneficiari risultano per la maggior parte italiani (58%); il restante 42% ha al proprio </w:t>
      </w:r>
      <w:r w:rsidRPr="004235C3">
        <w:rPr>
          <w:rFonts w:ascii="DecimaWE Rg" w:hAnsi="DecimaWE Rg"/>
        </w:rPr>
        <w:t xml:space="preserve">interno almeno un componente con cittadinanza straniera (il 28% è composto esclusivamente da cittadini stranieri). I nuclei con almeno uno straniero risultano maggioritari solo in alcuni territori del pordenonese, in particolare nell’Ambito Noncello (57%), nel Tagliamento (55%) e in quello Sile e Meduna (52%). Supera la quota del 50% anche l’Ambito Carso Isonzo Adriatico, </w:t>
      </w:r>
      <w:r w:rsidR="004B5BEF">
        <w:rPr>
          <w:rFonts w:ascii="DecimaWE Rg" w:hAnsi="DecimaWE Rg"/>
        </w:rPr>
        <w:t>che</w:t>
      </w:r>
      <w:r w:rsidRPr="004235C3">
        <w:rPr>
          <w:rFonts w:ascii="DecimaWE Rg" w:hAnsi="DecimaWE Rg"/>
        </w:rPr>
        <w:t xml:space="preserve"> nel 2017 si attestava al 41% di nuclei con almeno un componente straniero.</w:t>
      </w:r>
    </w:p>
    <w:p w:rsidR="00DB2B10" w:rsidRPr="000A311E" w:rsidRDefault="00DB2B10" w:rsidP="00DB2B10">
      <w:pPr>
        <w:spacing w:after="0"/>
        <w:jc w:val="both"/>
        <w:rPr>
          <w:rFonts w:ascii="DecimaWE Rg" w:hAnsi="DecimaWE Rg"/>
          <w:color w:val="FF0000"/>
          <w:highlight w:val="yellow"/>
        </w:rPr>
      </w:pPr>
      <w:r w:rsidRPr="000A311E">
        <w:rPr>
          <w:rFonts w:ascii="DecimaWE Rg" w:hAnsi="DecimaWE Rg"/>
        </w:rPr>
        <w:t>Facendo riferimento al complesso dei componenti</w:t>
      </w:r>
      <w:r w:rsidR="004B5BEF">
        <w:rPr>
          <w:rFonts w:ascii="DecimaWE Rg" w:hAnsi="DecimaWE Rg"/>
        </w:rPr>
        <w:t>,</w:t>
      </w:r>
      <w:r w:rsidRPr="000A311E">
        <w:rPr>
          <w:rFonts w:ascii="DecimaWE Rg" w:hAnsi="DecimaWE Rg"/>
        </w:rPr>
        <w:t xml:space="preserve"> si può osservare che il 56% delle persone interessate dalla misura </w:t>
      </w:r>
      <w:r w:rsidR="004B5BEF">
        <w:rPr>
          <w:rFonts w:ascii="DecimaWE Rg" w:hAnsi="DecimaWE Rg"/>
        </w:rPr>
        <w:t>ha</w:t>
      </w:r>
      <w:r w:rsidRPr="000A311E">
        <w:rPr>
          <w:rFonts w:ascii="DecimaWE Rg" w:hAnsi="DecimaWE Rg"/>
        </w:rPr>
        <w:t xml:space="preserve"> la cittadinanza italiana (con un incremento di 2 punti percentuali rispetto a quanto rilevato nel precedente monitoraggio</w:t>
      </w:r>
      <w:r w:rsidRPr="00454332">
        <w:rPr>
          <w:rFonts w:ascii="DecimaWE Rg" w:hAnsi="DecimaWE Rg"/>
        </w:rPr>
        <w:t xml:space="preserve">); se consideriamo il paese di nascita dei componenti la percentuale di nati in Italia </w:t>
      </w:r>
      <w:r>
        <w:rPr>
          <w:rFonts w:ascii="DecimaWE Rg" w:hAnsi="DecimaWE Rg"/>
        </w:rPr>
        <w:t>sale al 57</w:t>
      </w:r>
      <w:r w:rsidRPr="00454332">
        <w:rPr>
          <w:rFonts w:ascii="DecimaWE Rg" w:hAnsi="DecimaWE Rg"/>
        </w:rPr>
        <w:t xml:space="preserve">% </w:t>
      </w:r>
      <w:r w:rsidRPr="00D63451">
        <w:rPr>
          <w:rFonts w:ascii="DecimaWE Rg" w:hAnsi="DecimaWE Rg"/>
        </w:rPr>
        <w:t xml:space="preserve">(dei 933 minori con cittadinanza straniera interessati dalla misura – pari al 45% dei minori coinvolti nel periodo di </w:t>
      </w:r>
      <w:r w:rsidRPr="005E4B94">
        <w:rPr>
          <w:rFonts w:ascii="DecimaWE Rg" w:hAnsi="DecimaWE Rg"/>
        </w:rPr>
        <w:t xml:space="preserve">riferimento - il 69% risulta nato in Italia). </w:t>
      </w:r>
    </w:p>
    <w:p w:rsidR="00DB2B10" w:rsidRPr="003B5129" w:rsidRDefault="00DB2B10" w:rsidP="00DB2B10">
      <w:pPr>
        <w:spacing w:after="0"/>
        <w:jc w:val="both"/>
        <w:rPr>
          <w:rFonts w:ascii="DecimaWE Rg" w:hAnsi="DecimaWE Rg"/>
        </w:rPr>
      </w:pPr>
      <w:r w:rsidRPr="00B605A9">
        <w:rPr>
          <w:rFonts w:ascii="DecimaWE Rg" w:hAnsi="DecimaWE Rg"/>
        </w:rPr>
        <w:t xml:space="preserve">Coerentemente con la struttura anagrafica della popolazione straniera, i beneficiari con cittadinanza non italiana </w:t>
      </w:r>
      <w:r w:rsidR="004B5BEF">
        <w:rPr>
          <w:rFonts w:ascii="DecimaWE Rg" w:hAnsi="DecimaWE Rg"/>
        </w:rPr>
        <w:t>so</w:t>
      </w:r>
      <w:r w:rsidR="004B5BEF" w:rsidRPr="00B605A9">
        <w:rPr>
          <w:rFonts w:ascii="DecimaWE Rg" w:hAnsi="DecimaWE Rg"/>
        </w:rPr>
        <w:t xml:space="preserve">no </w:t>
      </w:r>
      <w:r w:rsidRPr="003B5129">
        <w:rPr>
          <w:rFonts w:ascii="DecimaWE Rg" w:hAnsi="DecimaWE Rg"/>
        </w:rPr>
        <w:t xml:space="preserve">mediamente più giovani (28 anni in media con i 30 anni in media del totale) e i nuclei familiari di riferimento sono più numerosi (3,6 componenti in media per i nuclei misti e di soli stranieri, contro i 2,0 componenti in media </w:t>
      </w:r>
      <w:r w:rsidRPr="003B5129">
        <w:rPr>
          <w:rFonts w:ascii="DecimaWE Rg" w:hAnsi="DecimaWE Rg"/>
        </w:rPr>
        <w:lastRenderedPageBreak/>
        <w:t xml:space="preserve">per i nuclei composti da soli italiani) e con un numero medio di figli maggiore (1,6 figli per i nuclei misti o stranieri contro 0,7 dei nuclei italiani). </w:t>
      </w:r>
    </w:p>
    <w:p w:rsidR="00DB2B10" w:rsidRDefault="00DB2B10" w:rsidP="00DB2B10">
      <w:pPr>
        <w:spacing w:after="0"/>
        <w:jc w:val="both"/>
        <w:rPr>
          <w:rFonts w:ascii="DecimaWE Rg" w:hAnsi="DecimaWE Rg"/>
        </w:rPr>
      </w:pPr>
    </w:p>
    <w:p w:rsidR="00DB2B10" w:rsidRDefault="00DB2B10" w:rsidP="00DB2B10">
      <w:pPr>
        <w:spacing w:after="0" w:line="240" w:lineRule="auto"/>
        <w:jc w:val="both"/>
        <w:rPr>
          <w:rFonts w:ascii="DecimaWE Rg" w:hAnsi="DecimaWE Rg"/>
          <w:i/>
          <w:sz w:val="20"/>
        </w:rPr>
      </w:pPr>
      <w:r>
        <w:rPr>
          <w:rFonts w:ascii="DecimaWE Rg" w:hAnsi="DecimaWE Rg"/>
          <w:i/>
          <w:sz w:val="20"/>
        </w:rPr>
        <w:t>Graf. 7</w:t>
      </w:r>
      <w:r w:rsidRPr="00344A13">
        <w:rPr>
          <w:rFonts w:ascii="DecimaWE Rg" w:hAnsi="DecimaWE Rg"/>
          <w:i/>
          <w:sz w:val="20"/>
        </w:rPr>
        <w:t xml:space="preserve"> – Distribuzione </w:t>
      </w:r>
      <w:r>
        <w:rPr>
          <w:rFonts w:ascii="DecimaWE Rg" w:hAnsi="DecimaWE Rg"/>
          <w:i/>
          <w:sz w:val="20"/>
        </w:rPr>
        <w:t>percentuale dei componenti dei nuclei beneficiari (tot.6.733) per cittadinanza e classe d’età.</w:t>
      </w:r>
    </w:p>
    <w:p w:rsidR="00875866" w:rsidRDefault="00875866" w:rsidP="00DB2B10">
      <w:pPr>
        <w:spacing w:after="0" w:line="240" w:lineRule="auto"/>
        <w:jc w:val="both"/>
        <w:rPr>
          <w:rFonts w:ascii="DecimaWE Rg" w:hAnsi="DecimaWE Rg"/>
          <w:i/>
          <w:sz w:val="20"/>
        </w:rPr>
      </w:pPr>
      <w:r>
        <w:rPr>
          <w:rFonts w:ascii="DecimaWE Rg" w:hAnsi="DecimaWE Rg"/>
          <w:i/>
          <w:noProof/>
          <w:sz w:val="20"/>
          <w:lang w:eastAsia="it-IT"/>
        </w:rPr>
        <w:drawing>
          <wp:inline distT="0" distB="0" distL="0" distR="0" wp14:anchorId="5AAEC585">
            <wp:extent cx="4991100" cy="1997405"/>
            <wp:effectExtent l="0" t="0" r="0" b="3175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689" cy="199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4D68" w:rsidRDefault="00534D68" w:rsidP="00534D68">
      <w:pPr>
        <w:spacing w:after="0"/>
        <w:jc w:val="both"/>
        <w:rPr>
          <w:rFonts w:ascii="DecimaWE Rg" w:hAnsi="DecimaWE Rg"/>
          <w:i/>
          <w:sz w:val="18"/>
        </w:rPr>
      </w:pPr>
      <w:r w:rsidRPr="009A7F7B">
        <w:rPr>
          <w:rFonts w:ascii="DecimaWE Rg" w:hAnsi="DecimaWE Rg"/>
          <w:i/>
          <w:sz w:val="18"/>
        </w:rPr>
        <w:t xml:space="preserve">Fonte: SIMIA – domande </w:t>
      </w:r>
      <w:r>
        <w:rPr>
          <w:rFonts w:ascii="DecimaWE Rg" w:hAnsi="DecimaWE Rg"/>
          <w:i/>
          <w:sz w:val="18"/>
        </w:rPr>
        <w:t>registrate dal 01/01/2018 al 22/</w:t>
      </w:r>
      <w:r w:rsidRPr="009A7F7B">
        <w:rPr>
          <w:rFonts w:ascii="DecimaWE Rg" w:hAnsi="DecimaWE Rg"/>
          <w:i/>
          <w:sz w:val="18"/>
        </w:rPr>
        <w:t>10/2018, estrazione dati al 03/05/2019.</w:t>
      </w:r>
    </w:p>
    <w:p w:rsidR="00DB2B10" w:rsidRPr="003B5129" w:rsidRDefault="00DB2B10" w:rsidP="00DB2B10">
      <w:pPr>
        <w:spacing w:after="0"/>
        <w:jc w:val="both"/>
        <w:rPr>
          <w:rFonts w:ascii="DecimaWE Rg" w:hAnsi="DecimaWE Rg"/>
        </w:rPr>
      </w:pPr>
    </w:p>
    <w:p w:rsidR="00DB2B10" w:rsidRPr="003B5129" w:rsidRDefault="00DB2B10" w:rsidP="00DB2B10">
      <w:pPr>
        <w:spacing w:after="0"/>
        <w:jc w:val="both"/>
        <w:rPr>
          <w:rFonts w:ascii="DecimaWE Rg" w:hAnsi="DecimaWE Rg"/>
          <w:highlight w:val="yellow"/>
        </w:rPr>
      </w:pPr>
      <w:r w:rsidRPr="00640180">
        <w:rPr>
          <w:rFonts w:ascii="DecimaWE Rg" w:hAnsi="DecimaWE Rg"/>
        </w:rPr>
        <w:t>Il valore medio degli ISEE di accesso è di 3.499,2 € e risulta più elevato di quello rilevato gli anni precedenti. La</w:t>
      </w:r>
      <w:r w:rsidRPr="003B5129">
        <w:rPr>
          <w:rFonts w:ascii="DecimaWE Rg" w:hAnsi="DecimaWE Rg"/>
        </w:rPr>
        <w:t xml:space="preserve"> distribuzione dei nuclei per fascia d’ISEE all’atto di presentazione della domanda evidenzia che il 34% dei nuclei si colloca al di sotto dei 3.000 euro</w:t>
      </w:r>
      <w:r>
        <w:rPr>
          <w:rFonts w:ascii="DecimaWE Rg" w:hAnsi="DecimaWE Rg"/>
        </w:rPr>
        <w:t xml:space="preserve"> (il 59% nel 2017)</w:t>
      </w:r>
      <w:r w:rsidRPr="003B5129">
        <w:rPr>
          <w:rFonts w:ascii="DecimaWE Rg" w:hAnsi="DecimaWE Rg"/>
        </w:rPr>
        <w:t xml:space="preserve">, il 39% si colloca tra i 3.000 e i 5.000 euro </w:t>
      </w:r>
      <w:r w:rsidR="0009174A">
        <w:rPr>
          <w:rFonts w:ascii="DecimaWE Rg" w:hAnsi="DecimaWE Rg"/>
        </w:rPr>
        <w:t>(</w:t>
      </w:r>
      <w:r>
        <w:rPr>
          <w:rFonts w:ascii="DecimaWE Rg" w:hAnsi="DecimaWE Rg"/>
        </w:rPr>
        <w:t xml:space="preserve">il 27% nel 2017) </w:t>
      </w:r>
      <w:r w:rsidRPr="003B5129">
        <w:rPr>
          <w:rFonts w:ascii="DecimaWE Rg" w:hAnsi="DecimaWE Rg"/>
        </w:rPr>
        <w:t>e la restante quota del 27% tra i 5.000 e i 6.000</w:t>
      </w:r>
      <w:r>
        <w:rPr>
          <w:rFonts w:ascii="DecimaWE Rg" w:hAnsi="DecimaWE Rg"/>
        </w:rPr>
        <w:t xml:space="preserve"> (il 14% nel 2017)</w:t>
      </w:r>
      <w:r w:rsidRPr="003B5129">
        <w:rPr>
          <w:rFonts w:ascii="DecimaWE Rg" w:hAnsi="DecimaWE Rg"/>
        </w:rPr>
        <w:t>. Sono 427 i nuclei con un ISEE al di sotto dei mille euro, per oltre il 60% dei casi si tratta di nuclei unipersonali.</w:t>
      </w:r>
    </w:p>
    <w:p w:rsidR="00DB2B10" w:rsidRPr="009B5481" w:rsidRDefault="00DB2B10" w:rsidP="00DB2B10">
      <w:pPr>
        <w:spacing w:after="0"/>
        <w:jc w:val="both"/>
        <w:rPr>
          <w:rFonts w:ascii="DecimaWE Rg" w:hAnsi="DecimaWE Rg"/>
        </w:rPr>
      </w:pPr>
      <w:r w:rsidRPr="009B5481">
        <w:rPr>
          <w:rFonts w:ascii="DecimaWE Rg" w:hAnsi="DecimaWE Rg"/>
        </w:rPr>
        <w:t xml:space="preserve">I nuclei </w:t>
      </w:r>
      <w:r w:rsidR="004B5BEF">
        <w:rPr>
          <w:rFonts w:ascii="DecimaWE Rg" w:hAnsi="DecimaWE Rg"/>
        </w:rPr>
        <w:t>con</w:t>
      </w:r>
      <w:r w:rsidRPr="009B5481">
        <w:rPr>
          <w:rFonts w:ascii="DecimaWE Rg" w:hAnsi="DecimaWE Rg"/>
        </w:rPr>
        <w:t xml:space="preserve"> un componente con disabilità</w:t>
      </w:r>
      <w:r w:rsidRPr="009B5481">
        <w:rPr>
          <w:rStyle w:val="Rimandonotaapidipagina"/>
          <w:rFonts w:ascii="DecimaWE Rg" w:hAnsi="DecimaWE Rg"/>
        </w:rPr>
        <w:footnoteReference w:id="14"/>
      </w:r>
      <w:r w:rsidRPr="009B5481">
        <w:rPr>
          <w:rFonts w:ascii="DecimaWE Rg" w:hAnsi="DecimaWE Rg"/>
        </w:rPr>
        <w:t xml:space="preserve"> </w:t>
      </w:r>
      <w:r w:rsidR="004B5BEF">
        <w:rPr>
          <w:rFonts w:ascii="DecimaWE Rg" w:hAnsi="DecimaWE Rg"/>
        </w:rPr>
        <w:t>rappresentano</w:t>
      </w:r>
      <w:r w:rsidR="004B5BEF" w:rsidRPr="009B5481">
        <w:rPr>
          <w:rFonts w:ascii="DecimaWE Rg" w:hAnsi="DecimaWE Rg"/>
        </w:rPr>
        <w:t xml:space="preserve"> </w:t>
      </w:r>
      <w:r w:rsidRPr="009B5481">
        <w:rPr>
          <w:rFonts w:ascii="DecimaWE Rg" w:hAnsi="DecimaWE Rg"/>
        </w:rPr>
        <w:t>il 16% del totale, per complessive 418 persone con disabilità, di cui 78 minori.</w:t>
      </w:r>
    </w:p>
    <w:p w:rsidR="00DB2B10" w:rsidRPr="00B6408F" w:rsidRDefault="00DB2B10" w:rsidP="00DB2B10">
      <w:pPr>
        <w:spacing w:after="0"/>
        <w:jc w:val="both"/>
        <w:rPr>
          <w:rFonts w:ascii="DecimaWE Rg" w:hAnsi="DecimaWE Rg"/>
          <w:highlight w:val="yellow"/>
        </w:rPr>
      </w:pPr>
    </w:p>
    <w:p w:rsidR="00790321" w:rsidRDefault="00DB2B10" w:rsidP="004D5438">
      <w:pPr>
        <w:spacing w:after="0"/>
        <w:jc w:val="both"/>
        <w:rPr>
          <w:rFonts w:ascii="DecimaWE Rg" w:hAnsi="DecimaWE Rg"/>
        </w:rPr>
      </w:pPr>
      <w:r w:rsidRPr="00443A5A">
        <w:rPr>
          <w:rFonts w:ascii="DecimaWE Rg" w:hAnsi="DecimaWE Rg"/>
        </w:rPr>
        <w:t>La distribuzione per condizione professionale</w:t>
      </w:r>
      <w:r w:rsidRPr="00443A5A">
        <w:rPr>
          <w:rStyle w:val="Rimandonotaapidipagina"/>
          <w:rFonts w:ascii="DecimaWE Rg" w:hAnsi="DecimaWE Rg"/>
        </w:rPr>
        <w:footnoteReference w:id="15"/>
      </w:r>
      <w:r w:rsidRPr="00443A5A">
        <w:rPr>
          <w:rFonts w:ascii="DecimaWE Rg" w:hAnsi="DecimaWE Rg"/>
        </w:rPr>
        <w:t xml:space="preserve"> di seguito riportata si riferisce ai soli componenti in età da lavoro </w:t>
      </w:r>
      <w:r w:rsidR="00BB195F" w:rsidRPr="001A5BDC">
        <w:rPr>
          <w:rFonts w:ascii="DecimaWE Rg" w:hAnsi="DecimaWE Rg"/>
        </w:rPr>
        <w:t>(15-64 anni), complessivamente</w:t>
      </w:r>
      <w:r w:rsidRPr="001A5BDC">
        <w:rPr>
          <w:rFonts w:ascii="DecimaWE Rg" w:hAnsi="DecimaWE Rg"/>
        </w:rPr>
        <w:t xml:space="preserve"> 4.480</w:t>
      </w:r>
      <w:r w:rsidR="00BB195F" w:rsidRPr="001A5BDC">
        <w:rPr>
          <w:rFonts w:ascii="DecimaWE Rg" w:hAnsi="DecimaWE Rg"/>
        </w:rPr>
        <w:t>.</w:t>
      </w:r>
      <w:r w:rsidRPr="001A5BDC">
        <w:rPr>
          <w:rFonts w:ascii="DecimaWE Rg" w:hAnsi="DecimaWE Rg"/>
        </w:rPr>
        <w:t xml:space="preserve"> </w:t>
      </w:r>
      <w:r w:rsidR="004D5438" w:rsidRPr="001A5BDC">
        <w:rPr>
          <w:rFonts w:ascii="DecimaWE Rg" w:hAnsi="DecimaWE Rg"/>
        </w:rPr>
        <w:t>G</w:t>
      </w:r>
      <w:r w:rsidR="00BB195F" w:rsidRPr="001A5BDC">
        <w:rPr>
          <w:rFonts w:ascii="DecimaWE Rg" w:hAnsi="DecimaWE Rg"/>
        </w:rPr>
        <w:t>li occupati rappresentano il 35,8% dei componenti considerati</w:t>
      </w:r>
      <w:r w:rsidR="00790321">
        <w:rPr>
          <w:rFonts w:ascii="DecimaWE Rg" w:hAnsi="DecimaWE Rg"/>
        </w:rPr>
        <w:t>. P</w:t>
      </w:r>
      <w:r w:rsidR="004D5438" w:rsidRPr="001A5BDC">
        <w:rPr>
          <w:rFonts w:ascii="DecimaWE Rg" w:hAnsi="DecimaWE Rg"/>
        </w:rPr>
        <w:t>er quanto concerne la tipologia di contratto</w:t>
      </w:r>
      <w:r w:rsidR="00BB195F" w:rsidRPr="001A5BDC">
        <w:rPr>
          <w:rFonts w:ascii="DecimaWE Rg" w:hAnsi="DecimaWE Rg"/>
        </w:rPr>
        <w:t>,</w:t>
      </w:r>
      <w:r w:rsidR="004D5438" w:rsidRPr="001A5BDC">
        <w:rPr>
          <w:rFonts w:ascii="DecimaWE Rg" w:hAnsi="DecimaWE Rg"/>
        </w:rPr>
        <w:t xml:space="preserve"> nello specifico</w:t>
      </w:r>
      <w:r w:rsidR="00BB195F" w:rsidRPr="001A5BDC">
        <w:rPr>
          <w:rFonts w:ascii="DecimaWE Rg" w:hAnsi="DecimaWE Rg"/>
        </w:rPr>
        <w:t>,</w:t>
      </w:r>
      <w:r w:rsidR="004D5438" w:rsidRPr="001A5BDC">
        <w:rPr>
          <w:rFonts w:ascii="DecimaWE Rg" w:hAnsi="DecimaWE Rg"/>
        </w:rPr>
        <w:t xml:space="preserve"> i</w:t>
      </w:r>
      <w:r w:rsidR="00BB195F" w:rsidRPr="001A5BDC">
        <w:rPr>
          <w:rFonts w:ascii="DecimaWE Rg" w:hAnsi="DecimaWE Rg"/>
        </w:rPr>
        <w:t>l 18,8</w:t>
      </w:r>
      <w:r w:rsidR="004D5438" w:rsidRPr="001A5BDC">
        <w:rPr>
          <w:rFonts w:ascii="DecimaWE Rg" w:hAnsi="DecimaWE Rg"/>
        </w:rPr>
        <w:t xml:space="preserve">% </w:t>
      </w:r>
      <w:r w:rsidR="00BB195F" w:rsidRPr="001A5BDC">
        <w:rPr>
          <w:rFonts w:ascii="DecimaWE Rg" w:hAnsi="DecimaWE Rg"/>
        </w:rPr>
        <w:t xml:space="preserve">del totale </w:t>
      </w:r>
      <w:r w:rsidR="004D5438" w:rsidRPr="001A5BDC">
        <w:rPr>
          <w:rFonts w:ascii="DecimaWE Rg" w:hAnsi="DecimaWE Rg"/>
        </w:rPr>
        <w:t>risulta avere un lavoro a tempo indeterminato, il 10</w:t>
      </w:r>
      <w:r w:rsidR="00BB195F" w:rsidRPr="001A5BDC">
        <w:rPr>
          <w:rFonts w:ascii="DecimaWE Rg" w:hAnsi="DecimaWE Rg"/>
        </w:rPr>
        <w:t>,2</w:t>
      </w:r>
      <w:r w:rsidR="004D5438" w:rsidRPr="001A5BDC">
        <w:rPr>
          <w:rFonts w:ascii="DecimaWE Rg" w:hAnsi="DecimaWE Rg"/>
        </w:rPr>
        <w:t>% un contratto a tempo determinato, il 3</w:t>
      </w:r>
      <w:r w:rsidR="00BB195F" w:rsidRPr="001A5BDC">
        <w:rPr>
          <w:rFonts w:ascii="DecimaWE Rg" w:hAnsi="DecimaWE Rg"/>
        </w:rPr>
        <w:t>,3</w:t>
      </w:r>
      <w:r w:rsidR="004D5438" w:rsidRPr="001A5BDC">
        <w:rPr>
          <w:rFonts w:ascii="DecimaWE Rg" w:hAnsi="DecimaWE Rg"/>
        </w:rPr>
        <w:t xml:space="preserve">% risulta lavoratore autonomo, mentre il 3,5% è costituito da lavoratori occasionali, interinali o in CIG. </w:t>
      </w:r>
    </w:p>
    <w:p w:rsidR="004D5438" w:rsidRPr="001C22CF" w:rsidRDefault="004D5438" w:rsidP="004D5438">
      <w:pPr>
        <w:spacing w:after="0"/>
        <w:jc w:val="both"/>
        <w:rPr>
          <w:rFonts w:ascii="DecimaWE Rg" w:hAnsi="DecimaWE Rg"/>
        </w:rPr>
      </w:pPr>
      <w:r w:rsidRPr="001A5BDC">
        <w:rPr>
          <w:rFonts w:ascii="DecimaWE Rg" w:hAnsi="DecimaWE Rg"/>
        </w:rPr>
        <w:t xml:space="preserve">I disoccupati </w:t>
      </w:r>
      <w:r w:rsidR="00BB195F" w:rsidRPr="001A5BDC">
        <w:rPr>
          <w:rFonts w:ascii="DecimaWE Rg" w:hAnsi="DecimaWE Rg"/>
        </w:rPr>
        <w:t>rappresentano il 31,9</w:t>
      </w:r>
      <w:r w:rsidRPr="001A5BDC">
        <w:rPr>
          <w:rFonts w:ascii="DecimaWE Rg" w:hAnsi="DecimaWE Rg"/>
        </w:rPr>
        <w:t>% del totale dei componenti in età da lavoro, gli studenti l’8,8%; le casalinghe il 12,6%; i pensionati il 2,3%.</w:t>
      </w:r>
      <w:r w:rsidR="00790321">
        <w:rPr>
          <w:rFonts w:ascii="DecimaWE Rg" w:hAnsi="DecimaWE Rg"/>
        </w:rPr>
        <w:t xml:space="preserve"> </w:t>
      </w:r>
      <w:r w:rsidRPr="001A5BDC">
        <w:rPr>
          <w:rFonts w:ascii="DecimaWE Rg" w:hAnsi="DecimaWE Rg"/>
        </w:rPr>
        <w:t>La categoria “altro”,</w:t>
      </w:r>
      <w:r>
        <w:rPr>
          <w:rFonts w:ascii="DecimaWE Rg" w:hAnsi="DecimaWE Rg"/>
        </w:rPr>
        <w:t xml:space="preserve"> infine, è stata attribuita a</w:t>
      </w:r>
      <w:r w:rsidR="00BB195F">
        <w:rPr>
          <w:rFonts w:ascii="DecimaWE Rg" w:hAnsi="DecimaWE Rg"/>
        </w:rPr>
        <w:t>ll’8,7</w:t>
      </w:r>
      <w:r w:rsidRPr="001C22CF">
        <w:rPr>
          <w:rFonts w:ascii="DecimaWE Rg" w:hAnsi="DecimaWE Rg"/>
        </w:rPr>
        <w:t xml:space="preserve">% </w:t>
      </w:r>
      <w:r w:rsidR="00BB195F">
        <w:rPr>
          <w:rFonts w:ascii="DecimaWE Rg" w:hAnsi="DecimaWE Rg"/>
        </w:rPr>
        <w:t>dei componenti in età da lavoro</w:t>
      </w:r>
      <w:r w:rsidRPr="001C22CF">
        <w:rPr>
          <w:rFonts w:ascii="DecimaWE Rg" w:hAnsi="DecimaWE Rg"/>
        </w:rPr>
        <w:t>, si può stimare</w:t>
      </w:r>
      <w:r w:rsidR="00BB195F">
        <w:rPr>
          <w:rFonts w:ascii="DecimaWE Rg" w:hAnsi="DecimaWE Rg"/>
        </w:rPr>
        <w:t xml:space="preserve"> che</w:t>
      </w:r>
      <w:r w:rsidRPr="001C22CF">
        <w:rPr>
          <w:rFonts w:ascii="DecimaWE Rg" w:hAnsi="DecimaWE Rg"/>
        </w:rPr>
        <w:t xml:space="preserve"> rientri</w:t>
      </w:r>
      <w:r w:rsidR="00BB195F">
        <w:rPr>
          <w:rFonts w:ascii="DecimaWE Rg" w:hAnsi="DecimaWE Rg"/>
        </w:rPr>
        <w:t xml:space="preserve"> in questa tipologia</w:t>
      </w:r>
      <w:r w:rsidRPr="001C22CF">
        <w:rPr>
          <w:rFonts w:ascii="DecimaWE Rg" w:hAnsi="DecimaWE Rg"/>
        </w:rPr>
        <w:t xml:space="preserve"> la categoria dei NEET (</w:t>
      </w:r>
      <w:proofErr w:type="spellStart"/>
      <w:r w:rsidRPr="001C22CF">
        <w:rPr>
          <w:rFonts w:ascii="DecimaWE Rg" w:hAnsi="DecimaWE Rg"/>
          <w:i/>
        </w:rPr>
        <w:t>not</w:t>
      </w:r>
      <w:proofErr w:type="spellEnd"/>
      <w:r w:rsidRPr="001C22CF">
        <w:rPr>
          <w:rFonts w:ascii="DecimaWE Rg" w:hAnsi="DecimaWE Rg"/>
          <w:i/>
        </w:rPr>
        <w:t xml:space="preserve"> in </w:t>
      </w:r>
      <w:proofErr w:type="spellStart"/>
      <w:r w:rsidRPr="001C22CF">
        <w:rPr>
          <w:rFonts w:ascii="DecimaWE Rg" w:hAnsi="DecimaWE Rg"/>
          <w:i/>
        </w:rPr>
        <w:t>education</w:t>
      </w:r>
      <w:proofErr w:type="spellEnd"/>
      <w:r w:rsidRPr="001C22CF">
        <w:rPr>
          <w:rFonts w:ascii="DecimaWE Rg" w:hAnsi="DecimaWE Rg"/>
          <w:i/>
        </w:rPr>
        <w:t xml:space="preserve">, </w:t>
      </w:r>
      <w:proofErr w:type="spellStart"/>
      <w:r w:rsidRPr="001C22CF">
        <w:rPr>
          <w:rFonts w:ascii="DecimaWE Rg" w:hAnsi="DecimaWE Rg"/>
          <w:i/>
        </w:rPr>
        <w:t>employment</w:t>
      </w:r>
      <w:proofErr w:type="spellEnd"/>
      <w:r w:rsidRPr="001C22CF">
        <w:rPr>
          <w:rFonts w:ascii="DecimaWE Rg" w:hAnsi="DecimaWE Rg"/>
          <w:i/>
        </w:rPr>
        <w:t xml:space="preserve"> or training</w:t>
      </w:r>
      <w:r w:rsidRPr="001C22CF">
        <w:rPr>
          <w:rFonts w:ascii="DecimaWE Rg" w:hAnsi="DecimaWE Rg"/>
        </w:rPr>
        <w:t>)</w:t>
      </w:r>
      <w:r w:rsidR="00A34F56">
        <w:rPr>
          <w:rFonts w:ascii="DecimaWE Rg" w:hAnsi="DecimaWE Rg"/>
        </w:rPr>
        <w:t>:</w:t>
      </w:r>
      <w:r w:rsidRPr="001C22CF">
        <w:rPr>
          <w:rFonts w:ascii="DecimaWE Rg" w:hAnsi="DecimaWE Rg"/>
        </w:rPr>
        <w:t xml:space="preserve"> il 60% circa di componenti</w:t>
      </w:r>
      <w:r w:rsidR="00BB195F">
        <w:rPr>
          <w:rFonts w:ascii="DecimaWE Rg" w:hAnsi="DecimaWE Rg"/>
        </w:rPr>
        <w:t xml:space="preserve"> </w:t>
      </w:r>
      <w:r w:rsidR="00790321">
        <w:rPr>
          <w:rFonts w:ascii="DecimaWE Rg" w:hAnsi="DecimaWE Rg"/>
        </w:rPr>
        <w:t>cui è stata attribuita l’</w:t>
      </w:r>
      <w:r w:rsidR="00BB195F" w:rsidRPr="001C22CF">
        <w:rPr>
          <w:rFonts w:ascii="DecimaWE Rg" w:hAnsi="DecimaWE Rg"/>
        </w:rPr>
        <w:t>attività lavorativ</w:t>
      </w:r>
      <w:r w:rsidR="00BB195F">
        <w:rPr>
          <w:rFonts w:ascii="DecimaWE Rg" w:hAnsi="DecimaWE Rg"/>
        </w:rPr>
        <w:t>a “altro”</w:t>
      </w:r>
      <w:r w:rsidR="00A34F56">
        <w:rPr>
          <w:rFonts w:ascii="DecimaWE Rg" w:hAnsi="DecimaWE Rg"/>
        </w:rPr>
        <w:t xml:space="preserve"> ha infatti</w:t>
      </w:r>
      <w:r w:rsidRPr="001C22CF">
        <w:rPr>
          <w:rFonts w:ascii="DecimaWE Rg" w:hAnsi="DecimaWE Rg"/>
        </w:rPr>
        <w:t xml:space="preserve"> tra i 15 e i 29 anni</w:t>
      </w:r>
      <w:r w:rsidR="00A34F56">
        <w:rPr>
          <w:rFonts w:ascii="DecimaWE Rg" w:hAnsi="DecimaWE Rg"/>
        </w:rPr>
        <w:t>.</w:t>
      </w:r>
      <w:r w:rsidRPr="001C22CF">
        <w:rPr>
          <w:rFonts w:ascii="DecimaWE Rg" w:hAnsi="DecimaWE Rg"/>
        </w:rPr>
        <w:t xml:space="preserve"> </w:t>
      </w:r>
    </w:p>
    <w:p w:rsidR="00DB2B10" w:rsidRPr="001A5BDC" w:rsidRDefault="001C22CF" w:rsidP="00DB2B10">
      <w:pPr>
        <w:spacing w:after="0"/>
        <w:jc w:val="both"/>
        <w:rPr>
          <w:rFonts w:ascii="DecimaWE Rg" w:hAnsi="DecimaWE Rg"/>
        </w:rPr>
      </w:pPr>
      <w:r w:rsidRPr="001C22CF">
        <w:rPr>
          <w:rFonts w:ascii="DecimaWE Rg" w:hAnsi="DecimaWE Rg"/>
        </w:rPr>
        <w:t xml:space="preserve">Rispetto </w:t>
      </w:r>
      <w:r w:rsidR="00DB2B10" w:rsidRPr="001C22CF">
        <w:rPr>
          <w:rFonts w:ascii="DecimaWE Rg" w:hAnsi="DecimaWE Rg"/>
        </w:rPr>
        <w:t>al</w:t>
      </w:r>
      <w:r w:rsidRPr="001C22CF">
        <w:rPr>
          <w:rFonts w:ascii="DecimaWE Rg" w:hAnsi="DecimaWE Rg"/>
        </w:rPr>
        <w:t xml:space="preserve"> precedente</w:t>
      </w:r>
      <w:r w:rsidR="00DB2B10" w:rsidRPr="001C22CF">
        <w:rPr>
          <w:rFonts w:ascii="DecimaWE Rg" w:hAnsi="DecimaWE Rg"/>
        </w:rPr>
        <w:t xml:space="preserve"> monitoraggio</w:t>
      </w:r>
      <w:r w:rsidRPr="001C22CF">
        <w:rPr>
          <w:rFonts w:ascii="DecimaWE Rg" w:hAnsi="DecimaWE Rg"/>
        </w:rPr>
        <w:t xml:space="preserve"> </w:t>
      </w:r>
      <w:r w:rsidR="00A34F56">
        <w:rPr>
          <w:rFonts w:ascii="DecimaWE Rg" w:hAnsi="DecimaWE Rg"/>
        </w:rPr>
        <w:t>(domande presentate nell’anno 2017) si rileva un decremento percentuale de</w:t>
      </w:r>
      <w:r w:rsidR="00DB2B10" w:rsidRPr="001C22CF">
        <w:rPr>
          <w:rFonts w:ascii="DecimaWE Rg" w:hAnsi="DecimaWE Rg"/>
        </w:rPr>
        <w:t>i disoccupati</w:t>
      </w:r>
      <w:r w:rsidR="00A34F56">
        <w:rPr>
          <w:rFonts w:ascii="DecimaWE Rg" w:hAnsi="DecimaWE Rg"/>
        </w:rPr>
        <w:t xml:space="preserve"> (</w:t>
      </w:r>
      <w:r w:rsidR="00442F28">
        <w:rPr>
          <w:rFonts w:ascii="DecimaWE Rg" w:hAnsi="DecimaWE Rg"/>
        </w:rPr>
        <w:t xml:space="preserve">31,9% nel 2018, </w:t>
      </w:r>
      <w:r w:rsidR="00A34F56">
        <w:rPr>
          <w:rFonts w:ascii="DecimaWE Rg" w:hAnsi="DecimaWE Rg"/>
        </w:rPr>
        <w:t>risultavano il 40% n</w:t>
      </w:r>
      <w:r w:rsidR="00DB2B10" w:rsidRPr="001C22CF">
        <w:rPr>
          <w:rFonts w:ascii="DecimaWE Rg" w:hAnsi="DecimaWE Rg"/>
        </w:rPr>
        <w:t>el 2017</w:t>
      </w:r>
      <w:r w:rsidR="00442F28">
        <w:rPr>
          <w:rFonts w:ascii="DecimaWE Rg" w:hAnsi="DecimaWE Rg"/>
        </w:rPr>
        <w:t>)</w:t>
      </w:r>
      <w:r w:rsidR="00A34F56">
        <w:rPr>
          <w:rFonts w:ascii="DecimaWE Rg" w:hAnsi="DecimaWE Rg"/>
        </w:rPr>
        <w:t>, a fronte di una quota più significativa di</w:t>
      </w:r>
      <w:r w:rsidR="00A34F56" w:rsidRPr="001C22CF">
        <w:rPr>
          <w:rFonts w:ascii="DecimaWE Rg" w:hAnsi="DecimaWE Rg"/>
        </w:rPr>
        <w:t xml:space="preserve"> </w:t>
      </w:r>
      <w:r w:rsidR="00A34F56">
        <w:rPr>
          <w:rFonts w:ascii="DecimaWE Rg" w:hAnsi="DecimaWE Rg"/>
        </w:rPr>
        <w:t xml:space="preserve">componenti in età da lavoro </w:t>
      </w:r>
      <w:r w:rsidR="00A34F56" w:rsidRPr="001C22CF">
        <w:rPr>
          <w:rFonts w:ascii="DecimaWE Rg" w:hAnsi="DecimaWE Rg"/>
        </w:rPr>
        <w:t>occupati (</w:t>
      </w:r>
      <w:r w:rsidR="00442F28">
        <w:rPr>
          <w:rFonts w:ascii="DecimaWE Rg" w:hAnsi="DecimaWE Rg"/>
        </w:rPr>
        <w:t xml:space="preserve">35,8% nel 2018, </w:t>
      </w:r>
      <w:r w:rsidR="00A34F56">
        <w:rPr>
          <w:rFonts w:ascii="DecimaWE Rg" w:hAnsi="DecimaWE Rg"/>
        </w:rPr>
        <w:t>erano il</w:t>
      </w:r>
      <w:r w:rsidR="00A34F56" w:rsidRPr="001C22CF">
        <w:rPr>
          <w:rFonts w:ascii="DecimaWE Rg" w:hAnsi="DecimaWE Rg"/>
        </w:rPr>
        <w:t xml:space="preserve"> 30% </w:t>
      </w:r>
      <w:r w:rsidR="00A34F56">
        <w:rPr>
          <w:rFonts w:ascii="DecimaWE Rg" w:hAnsi="DecimaWE Rg"/>
        </w:rPr>
        <w:t>nel 2017)</w:t>
      </w:r>
      <w:r w:rsidRPr="001C22CF">
        <w:rPr>
          <w:rFonts w:ascii="DecimaWE Rg" w:hAnsi="DecimaWE Rg"/>
        </w:rPr>
        <w:t xml:space="preserve"> </w:t>
      </w:r>
      <w:r w:rsidR="00A34F56">
        <w:rPr>
          <w:rFonts w:ascii="DecimaWE Rg" w:hAnsi="DecimaWE Rg"/>
        </w:rPr>
        <w:t xml:space="preserve">la cui situazione lavorativa non consente </w:t>
      </w:r>
      <w:r w:rsidR="00A34F56" w:rsidRPr="001A5BDC">
        <w:rPr>
          <w:rFonts w:ascii="DecimaWE Rg" w:hAnsi="DecimaWE Rg"/>
        </w:rPr>
        <w:t xml:space="preserve">tuttavia al nucleo un livello di reddito soddisfacente e </w:t>
      </w:r>
      <w:r w:rsidRPr="001A5BDC">
        <w:rPr>
          <w:rFonts w:ascii="DecimaWE Rg" w:hAnsi="DecimaWE Rg"/>
        </w:rPr>
        <w:t>un’usc</w:t>
      </w:r>
      <w:r w:rsidR="00A34F56" w:rsidRPr="001A5BDC">
        <w:rPr>
          <w:rFonts w:ascii="DecimaWE Rg" w:hAnsi="DecimaWE Rg"/>
        </w:rPr>
        <w:t>ita dalla condizione di disagio, facendoli rientrare nella</w:t>
      </w:r>
      <w:r w:rsidR="00DB2B10" w:rsidRPr="001A5BDC">
        <w:rPr>
          <w:rFonts w:ascii="DecimaWE Rg" w:hAnsi="DecimaWE Rg"/>
        </w:rPr>
        <w:t xml:space="preserve"> così detta categoria dei </w:t>
      </w:r>
      <w:proofErr w:type="spellStart"/>
      <w:r w:rsidR="00DB2B10" w:rsidRPr="001A5BDC">
        <w:rPr>
          <w:rFonts w:ascii="DecimaWE Rg" w:hAnsi="DecimaWE Rg"/>
          <w:i/>
        </w:rPr>
        <w:t>working</w:t>
      </w:r>
      <w:proofErr w:type="spellEnd"/>
      <w:r w:rsidR="00DB2B10" w:rsidRPr="001A5BDC">
        <w:rPr>
          <w:rFonts w:ascii="DecimaWE Rg" w:hAnsi="DecimaWE Rg"/>
          <w:i/>
        </w:rPr>
        <w:t xml:space="preserve"> </w:t>
      </w:r>
      <w:proofErr w:type="spellStart"/>
      <w:r w:rsidR="00DB2B10" w:rsidRPr="001A5BDC">
        <w:rPr>
          <w:rFonts w:ascii="DecimaWE Rg" w:hAnsi="DecimaWE Rg"/>
          <w:i/>
        </w:rPr>
        <w:t>poor</w:t>
      </w:r>
      <w:proofErr w:type="spellEnd"/>
      <w:r w:rsidR="00DB2B10" w:rsidRPr="001A5BDC">
        <w:rPr>
          <w:rFonts w:ascii="DecimaWE Rg" w:hAnsi="DecimaWE Rg"/>
        </w:rPr>
        <w:t xml:space="preserve">. </w:t>
      </w:r>
    </w:p>
    <w:p w:rsidR="00DB2B10" w:rsidRPr="001A5BDC" w:rsidRDefault="00DB2B10" w:rsidP="00DB2B10">
      <w:pPr>
        <w:spacing w:after="0"/>
        <w:jc w:val="both"/>
        <w:rPr>
          <w:rFonts w:ascii="DecimaWE Rg" w:hAnsi="DecimaWE Rg"/>
        </w:rPr>
      </w:pPr>
      <w:r w:rsidRPr="001A5BDC">
        <w:rPr>
          <w:rFonts w:ascii="DecimaWE Rg" w:hAnsi="DecimaWE Rg"/>
        </w:rPr>
        <w:t xml:space="preserve">Anche in questo caso si evidenziano </w:t>
      </w:r>
      <w:r w:rsidR="00A34F56" w:rsidRPr="001A5BDC">
        <w:rPr>
          <w:rFonts w:ascii="DecimaWE Rg" w:hAnsi="DecimaWE Rg"/>
        </w:rPr>
        <w:t>alcune differenze territoriali: in Carnia quasi la metà dei componenti in età</w:t>
      </w:r>
      <w:r w:rsidR="00813ED9" w:rsidRPr="001A5BDC">
        <w:rPr>
          <w:rFonts w:ascii="DecimaWE Rg" w:hAnsi="DecimaWE Rg"/>
        </w:rPr>
        <w:t xml:space="preserve"> da lavoro risulta disoccupato, si supera la quota del 40% dei disoccupati anche nel Torre, mentre i</w:t>
      </w:r>
      <w:r w:rsidR="00A34F56" w:rsidRPr="001A5BDC">
        <w:rPr>
          <w:rFonts w:ascii="DecimaWE Rg" w:hAnsi="DecimaWE Rg"/>
        </w:rPr>
        <w:t xml:space="preserve">l Triestino </w:t>
      </w:r>
      <w:r w:rsidR="00813ED9" w:rsidRPr="001A5BDC">
        <w:rPr>
          <w:rFonts w:ascii="DecimaWE Rg" w:hAnsi="DecimaWE Rg"/>
        </w:rPr>
        <w:t>si colloca sul 38%.</w:t>
      </w:r>
      <w:r w:rsidRPr="001A5BDC">
        <w:rPr>
          <w:rFonts w:ascii="DecimaWE Rg" w:hAnsi="DecimaWE Rg"/>
        </w:rPr>
        <w:t xml:space="preserve"> </w:t>
      </w:r>
      <w:r w:rsidR="00813ED9" w:rsidRPr="001A5BDC">
        <w:rPr>
          <w:rFonts w:ascii="DecimaWE Rg" w:hAnsi="DecimaWE Rg"/>
        </w:rPr>
        <w:t>Di contro la pe</w:t>
      </w:r>
      <w:r w:rsidR="00471ACF">
        <w:rPr>
          <w:rFonts w:ascii="DecimaWE Rg" w:hAnsi="DecimaWE Rg"/>
        </w:rPr>
        <w:t>r</w:t>
      </w:r>
      <w:r w:rsidR="00813ED9" w:rsidRPr="001A5BDC">
        <w:rPr>
          <w:rFonts w:ascii="DecimaWE Rg" w:hAnsi="DecimaWE Rg"/>
        </w:rPr>
        <w:t>centuale di disoccupati scende al di sotto del 30% nel pordenonese</w:t>
      </w:r>
      <w:r w:rsidR="001A5BDC" w:rsidRPr="001A5BDC">
        <w:rPr>
          <w:rFonts w:ascii="DecimaWE Rg" w:hAnsi="DecimaWE Rg"/>
        </w:rPr>
        <w:t>, nel Carso Isonzo Adriatico e nel Medio F</w:t>
      </w:r>
      <w:r w:rsidR="00442F28" w:rsidRPr="001A5BDC">
        <w:rPr>
          <w:rFonts w:ascii="DecimaWE Rg" w:hAnsi="DecimaWE Rg"/>
        </w:rPr>
        <w:t>riuli</w:t>
      </w:r>
      <w:r w:rsidR="001A5BDC" w:rsidRPr="001A5BDC">
        <w:rPr>
          <w:rFonts w:ascii="DecimaWE Rg" w:hAnsi="DecimaWE Rg"/>
        </w:rPr>
        <w:t>, in quest’ultimo territorio</w:t>
      </w:r>
      <w:r w:rsidR="00442F28" w:rsidRPr="001A5BDC">
        <w:rPr>
          <w:rFonts w:ascii="DecimaWE Rg" w:hAnsi="DecimaWE Rg"/>
        </w:rPr>
        <w:t xml:space="preserve"> tocca la quota minima del 21%.</w:t>
      </w:r>
      <w:r w:rsidR="0009174A">
        <w:rPr>
          <w:rFonts w:ascii="DecimaWE Rg" w:hAnsi="DecimaWE Rg"/>
        </w:rPr>
        <w:t xml:space="preserve"> </w:t>
      </w:r>
      <w:r w:rsidR="001A5BDC" w:rsidRPr="001A5BDC">
        <w:rPr>
          <w:rFonts w:ascii="DecimaWE Rg" w:hAnsi="DecimaWE Rg"/>
        </w:rPr>
        <w:t>Viceversa la percentuale</w:t>
      </w:r>
      <w:r w:rsidR="00442F28" w:rsidRPr="001A5BDC">
        <w:rPr>
          <w:rFonts w:ascii="DecimaWE Rg" w:hAnsi="DecimaWE Rg"/>
        </w:rPr>
        <w:t xml:space="preserve"> degli occupati </w:t>
      </w:r>
      <w:r w:rsidR="001A5BDC" w:rsidRPr="001A5BDC">
        <w:rPr>
          <w:rFonts w:ascii="DecimaWE Rg" w:hAnsi="DecimaWE Rg"/>
        </w:rPr>
        <w:t xml:space="preserve">sale oltre il 40% nel Noncello e nel Carso Isonzo Adriatico; in quest’ultimo territorio risulta più alta </w:t>
      </w:r>
      <w:r w:rsidR="001A5BDC" w:rsidRPr="001A5BDC">
        <w:rPr>
          <w:rFonts w:ascii="DecimaWE Rg" w:hAnsi="DecimaWE Rg"/>
        </w:rPr>
        <w:lastRenderedPageBreak/>
        <w:t xml:space="preserve">della media anche la percentuale di casalinghe (21%) andando a profilare una prevalenza di nuclei monoreddito con figli a carico. </w:t>
      </w:r>
    </w:p>
    <w:p w:rsidR="00DB2B10" w:rsidRDefault="00DB2B10" w:rsidP="00DB2B10">
      <w:pPr>
        <w:spacing w:after="0"/>
        <w:jc w:val="both"/>
        <w:rPr>
          <w:rFonts w:ascii="DecimaWE Rg" w:hAnsi="DecimaWE Rg"/>
        </w:rPr>
      </w:pPr>
    </w:p>
    <w:p w:rsidR="00DB2B10" w:rsidRDefault="00DB2B10" w:rsidP="00DB2B10">
      <w:pPr>
        <w:spacing w:after="0" w:line="240" w:lineRule="auto"/>
        <w:jc w:val="both"/>
        <w:rPr>
          <w:rFonts w:ascii="DecimaWE Rg" w:hAnsi="DecimaWE Rg"/>
          <w:i/>
          <w:sz w:val="20"/>
        </w:rPr>
      </w:pPr>
      <w:r>
        <w:rPr>
          <w:rFonts w:ascii="DecimaWE Rg" w:hAnsi="DecimaWE Rg"/>
          <w:i/>
          <w:sz w:val="20"/>
        </w:rPr>
        <w:t>Graf. 8</w:t>
      </w:r>
      <w:r w:rsidRPr="00344A13">
        <w:rPr>
          <w:rFonts w:ascii="DecimaWE Rg" w:hAnsi="DecimaWE Rg"/>
          <w:i/>
          <w:sz w:val="20"/>
        </w:rPr>
        <w:t xml:space="preserve"> – Distribuzione </w:t>
      </w:r>
      <w:r>
        <w:rPr>
          <w:rFonts w:ascii="DecimaWE Rg" w:hAnsi="DecimaWE Rg"/>
          <w:i/>
          <w:sz w:val="20"/>
        </w:rPr>
        <w:t xml:space="preserve">dei componenti dei nuclei beneficiari in età lavorativa – 15-64 </w:t>
      </w:r>
      <w:r w:rsidRPr="00BB6F28">
        <w:rPr>
          <w:rFonts w:ascii="DecimaWE Rg" w:hAnsi="DecimaWE Rg"/>
          <w:i/>
          <w:sz w:val="20"/>
        </w:rPr>
        <w:t xml:space="preserve">anni (tot. 4.480) </w:t>
      </w:r>
      <w:r>
        <w:rPr>
          <w:rFonts w:ascii="DecimaWE Rg" w:hAnsi="DecimaWE Rg"/>
          <w:i/>
          <w:sz w:val="20"/>
        </w:rPr>
        <w:t>per condizione professionale e specifica sulla tipologia di contratto per gli occupati</w:t>
      </w:r>
      <w:r w:rsidRPr="00344A13">
        <w:rPr>
          <w:rFonts w:ascii="DecimaWE Rg" w:hAnsi="DecimaWE Rg"/>
          <w:i/>
          <w:sz w:val="20"/>
        </w:rPr>
        <w:t xml:space="preserve">. </w:t>
      </w:r>
    </w:p>
    <w:p w:rsidR="00875866" w:rsidRDefault="00875866" w:rsidP="00DB2B10">
      <w:pPr>
        <w:spacing w:after="0" w:line="240" w:lineRule="auto"/>
        <w:jc w:val="both"/>
        <w:rPr>
          <w:rFonts w:ascii="DecimaWE Rg" w:hAnsi="DecimaWE Rg"/>
          <w:i/>
          <w:sz w:val="20"/>
        </w:rPr>
      </w:pPr>
      <w:r>
        <w:rPr>
          <w:rFonts w:ascii="DecimaWE Rg" w:hAnsi="DecimaWE Rg"/>
          <w:i/>
          <w:noProof/>
          <w:sz w:val="20"/>
          <w:lang w:eastAsia="it-IT"/>
        </w:rPr>
        <w:drawing>
          <wp:inline distT="0" distB="0" distL="0" distR="0" wp14:anchorId="3DE83C3F">
            <wp:extent cx="4914900" cy="2406198"/>
            <wp:effectExtent l="0" t="0" r="0" b="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406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4D68" w:rsidRDefault="00534D68" w:rsidP="00534D68">
      <w:pPr>
        <w:spacing w:after="0"/>
        <w:jc w:val="both"/>
        <w:rPr>
          <w:rFonts w:ascii="DecimaWE Rg" w:hAnsi="DecimaWE Rg"/>
          <w:i/>
          <w:sz w:val="18"/>
        </w:rPr>
      </w:pPr>
      <w:bookmarkStart w:id="5" w:name="_Toc9600349"/>
      <w:r w:rsidRPr="009A7F7B">
        <w:rPr>
          <w:rFonts w:ascii="DecimaWE Rg" w:hAnsi="DecimaWE Rg"/>
          <w:i/>
          <w:sz w:val="18"/>
        </w:rPr>
        <w:t xml:space="preserve">Fonte: SIMIA – domande </w:t>
      </w:r>
      <w:r>
        <w:rPr>
          <w:rFonts w:ascii="DecimaWE Rg" w:hAnsi="DecimaWE Rg"/>
          <w:i/>
          <w:sz w:val="18"/>
        </w:rPr>
        <w:t>registrate dal 01/01/2018 al 22/</w:t>
      </w:r>
      <w:r w:rsidRPr="009A7F7B">
        <w:rPr>
          <w:rFonts w:ascii="DecimaWE Rg" w:hAnsi="DecimaWE Rg"/>
          <w:i/>
          <w:sz w:val="18"/>
        </w:rPr>
        <w:t>10/2018, estrazione dati al 03/05/2019.</w:t>
      </w:r>
      <w:r>
        <w:rPr>
          <w:rFonts w:ascii="DecimaWE Rg" w:hAnsi="DecimaWE Rg"/>
          <w:i/>
          <w:sz w:val="18"/>
        </w:rPr>
        <w:t>.</w:t>
      </w:r>
    </w:p>
    <w:p w:rsidR="004B2DA8" w:rsidRPr="0094643A" w:rsidRDefault="004B2DA8" w:rsidP="0009174A">
      <w:pPr>
        <w:pStyle w:val="Titolo1"/>
        <w:tabs>
          <w:tab w:val="left" w:pos="284"/>
        </w:tabs>
        <w:rPr>
          <w:rFonts w:ascii="DecimaWE Rg" w:hAnsi="DecimaWE Rg"/>
          <w:color w:val="000000" w:themeColor="text1"/>
          <w:sz w:val="22"/>
          <w:szCs w:val="22"/>
        </w:rPr>
      </w:pPr>
      <w:r w:rsidRPr="0094643A">
        <w:rPr>
          <w:rFonts w:ascii="DecimaWE Rg" w:hAnsi="DecimaWE Rg"/>
          <w:color w:val="000000" w:themeColor="text1"/>
          <w:sz w:val="22"/>
          <w:szCs w:val="22"/>
        </w:rPr>
        <w:t xml:space="preserve">4. </w:t>
      </w:r>
      <w:r w:rsidRPr="0094643A">
        <w:rPr>
          <w:rFonts w:ascii="DecimaWE Rg" w:hAnsi="DecimaWE Rg"/>
          <w:color w:val="000000" w:themeColor="text1"/>
          <w:sz w:val="22"/>
          <w:szCs w:val="22"/>
        </w:rPr>
        <w:tab/>
      </w:r>
      <w:r w:rsidRPr="00471ACF">
        <w:rPr>
          <w:rFonts w:ascii="DecimaWE Rg" w:hAnsi="DecimaWE Rg"/>
          <w:color w:val="000000" w:themeColor="text1"/>
          <w:sz w:val="22"/>
          <w:szCs w:val="22"/>
        </w:rPr>
        <w:t>La presa in carico e la definizione dei patti di inclusione</w:t>
      </w:r>
      <w:bookmarkEnd w:id="5"/>
    </w:p>
    <w:p w:rsidR="004B2DA8" w:rsidRPr="00344A13" w:rsidRDefault="004B2DA8" w:rsidP="005C09EC">
      <w:pPr>
        <w:pStyle w:val="Paragrafoelenco"/>
        <w:spacing w:after="0"/>
        <w:rPr>
          <w:rFonts w:ascii="DecimaWE Rg" w:hAnsi="DecimaWE Rg"/>
          <w:b/>
        </w:rPr>
      </w:pPr>
    </w:p>
    <w:p w:rsidR="004B2DA8" w:rsidRPr="00344A13" w:rsidRDefault="004B2DA8" w:rsidP="005C09EC">
      <w:pPr>
        <w:spacing w:after="0"/>
        <w:jc w:val="both"/>
        <w:rPr>
          <w:rFonts w:ascii="DecimaWE Rg" w:hAnsi="DecimaWE Rg"/>
        </w:rPr>
      </w:pPr>
      <w:r w:rsidRPr="00344A13">
        <w:rPr>
          <w:rFonts w:ascii="DecimaWE Rg" w:hAnsi="DecimaWE Rg"/>
        </w:rPr>
        <w:t xml:space="preserve">L’elemento qualificante la MIA </w:t>
      </w:r>
      <w:r w:rsidR="004B5BEF">
        <w:rPr>
          <w:rFonts w:ascii="DecimaWE Rg" w:hAnsi="DecimaWE Rg"/>
        </w:rPr>
        <w:t>è rappresentato</w:t>
      </w:r>
      <w:r w:rsidRPr="00344A13">
        <w:rPr>
          <w:rFonts w:ascii="DecimaWE Rg" w:hAnsi="DecimaWE Rg"/>
        </w:rPr>
        <w:t xml:space="preserve"> </w:t>
      </w:r>
      <w:r w:rsidR="004B5BEF">
        <w:rPr>
          <w:rFonts w:ascii="DecimaWE Rg" w:hAnsi="DecimaWE Rg"/>
        </w:rPr>
        <w:t>d</w:t>
      </w:r>
      <w:r w:rsidRPr="00344A13">
        <w:rPr>
          <w:rFonts w:ascii="DecimaWE Rg" w:hAnsi="DecimaWE Rg"/>
        </w:rPr>
        <w:t>al p</w:t>
      </w:r>
      <w:r>
        <w:rPr>
          <w:rFonts w:ascii="DecimaWE Rg" w:hAnsi="DecimaWE Rg"/>
        </w:rPr>
        <w:t xml:space="preserve">ercorso di presa in carico </w:t>
      </w:r>
      <w:r w:rsidR="001A5BDC">
        <w:rPr>
          <w:rFonts w:ascii="DecimaWE Rg" w:hAnsi="DecimaWE Rg"/>
        </w:rPr>
        <w:t xml:space="preserve">del nucleo </w:t>
      </w:r>
      <w:r w:rsidR="004B5BEF">
        <w:rPr>
          <w:rFonts w:ascii="DecimaWE Rg" w:hAnsi="DecimaWE Rg"/>
        </w:rPr>
        <w:t xml:space="preserve">finalizzato </w:t>
      </w:r>
      <w:r w:rsidRPr="00344A13">
        <w:rPr>
          <w:rFonts w:ascii="DecimaWE Rg" w:hAnsi="DecimaWE Rg"/>
        </w:rPr>
        <w:t>all’atti</w:t>
      </w:r>
      <w:r w:rsidR="001A5BDC">
        <w:rPr>
          <w:rFonts w:ascii="DecimaWE Rg" w:hAnsi="DecimaWE Rg"/>
        </w:rPr>
        <w:t>vazione dei suoi componenti attraverso la messa in campo di</w:t>
      </w:r>
      <w:r w:rsidRPr="00344A13">
        <w:rPr>
          <w:rFonts w:ascii="DecimaWE Rg" w:hAnsi="DecimaWE Rg"/>
        </w:rPr>
        <w:t xml:space="preserve"> potenzialità lat</w:t>
      </w:r>
      <w:r>
        <w:rPr>
          <w:rFonts w:ascii="DecimaWE Rg" w:hAnsi="DecimaWE Rg"/>
        </w:rPr>
        <w:t>enti e residue e</w:t>
      </w:r>
      <w:r w:rsidR="00085DFB">
        <w:rPr>
          <w:rFonts w:ascii="DecimaWE Rg" w:hAnsi="DecimaWE Rg"/>
        </w:rPr>
        <w:t xml:space="preserve"> attraverso la mobilitazione del</w:t>
      </w:r>
      <w:r>
        <w:rPr>
          <w:rFonts w:ascii="DecimaWE Rg" w:hAnsi="DecimaWE Rg"/>
        </w:rPr>
        <w:t>le</w:t>
      </w:r>
      <w:r w:rsidRPr="00344A13">
        <w:rPr>
          <w:rFonts w:ascii="DecimaWE Rg" w:hAnsi="DecimaWE Rg"/>
        </w:rPr>
        <w:t xml:space="preserve"> risorse formali e informali</w:t>
      </w:r>
      <w:r>
        <w:rPr>
          <w:rFonts w:ascii="DecimaWE Rg" w:hAnsi="DecimaWE Rg"/>
        </w:rPr>
        <w:t xml:space="preserve"> disponibili (mercato del lavoro,</w:t>
      </w:r>
      <w:r w:rsidR="00085DFB">
        <w:rPr>
          <w:rFonts w:ascii="DecimaWE Rg" w:hAnsi="DecimaWE Rg"/>
        </w:rPr>
        <w:t xml:space="preserve"> formazione, </w:t>
      </w:r>
      <w:r>
        <w:rPr>
          <w:rFonts w:ascii="DecimaWE Rg" w:hAnsi="DecimaWE Rg"/>
        </w:rPr>
        <w:t xml:space="preserve">terzo settore, </w:t>
      </w:r>
      <w:r w:rsidRPr="00344A13">
        <w:rPr>
          <w:rFonts w:ascii="DecimaWE Rg" w:hAnsi="DecimaWE Rg"/>
        </w:rPr>
        <w:t>associazionismo</w:t>
      </w:r>
      <w:r>
        <w:rPr>
          <w:rFonts w:ascii="DecimaWE Rg" w:hAnsi="DecimaWE Rg"/>
        </w:rPr>
        <w:t>)</w:t>
      </w:r>
      <w:r w:rsidRPr="00344A13">
        <w:rPr>
          <w:rFonts w:ascii="DecimaWE Rg" w:hAnsi="DecimaWE Rg"/>
        </w:rPr>
        <w:t xml:space="preserve"> al fine di realizzare percorsi di inclusione lavorativa e sociale </w:t>
      </w:r>
      <w:r w:rsidR="00085DFB">
        <w:rPr>
          <w:rFonts w:ascii="DecimaWE Rg" w:hAnsi="DecimaWE Rg"/>
        </w:rPr>
        <w:t>e favorire l’autonoma uscita dalla situazione di bisogno</w:t>
      </w:r>
      <w:r w:rsidRPr="00344A13">
        <w:rPr>
          <w:rFonts w:ascii="DecimaWE Rg" w:hAnsi="DecimaWE Rg"/>
        </w:rPr>
        <w:t>.</w:t>
      </w:r>
    </w:p>
    <w:p w:rsidR="004B2DA8" w:rsidRPr="00344A13" w:rsidRDefault="004B2DA8" w:rsidP="005C09EC">
      <w:pPr>
        <w:spacing w:after="0"/>
        <w:jc w:val="both"/>
        <w:rPr>
          <w:rFonts w:ascii="DecimaWE Rg" w:hAnsi="DecimaWE Rg"/>
        </w:rPr>
      </w:pPr>
      <w:r>
        <w:rPr>
          <w:rFonts w:ascii="DecimaWE Rg" w:hAnsi="DecimaWE Rg"/>
        </w:rPr>
        <w:t>Il percorso definito</w:t>
      </w:r>
      <w:r w:rsidRPr="00344A13">
        <w:rPr>
          <w:rFonts w:ascii="DecimaWE Rg" w:hAnsi="DecimaWE Rg"/>
        </w:rPr>
        <w:t xml:space="preserve"> prev</w:t>
      </w:r>
      <w:r>
        <w:rPr>
          <w:rFonts w:ascii="DecimaWE Rg" w:hAnsi="DecimaWE Rg"/>
        </w:rPr>
        <w:t>ede, in linea con quelle che sono</w:t>
      </w:r>
      <w:r w:rsidR="00085DFB">
        <w:rPr>
          <w:rFonts w:ascii="DecimaWE Rg" w:hAnsi="DecimaWE Rg"/>
        </w:rPr>
        <w:t xml:space="preserve"> anche</w:t>
      </w:r>
      <w:r>
        <w:rPr>
          <w:rFonts w:ascii="DecimaWE Rg" w:hAnsi="DecimaWE Rg"/>
        </w:rPr>
        <w:t xml:space="preserve"> le indicazioni del </w:t>
      </w:r>
      <w:proofErr w:type="spellStart"/>
      <w:r w:rsidR="00EC2880">
        <w:rPr>
          <w:rFonts w:ascii="DecimaWE Rg" w:hAnsi="DecimaWE Rg"/>
        </w:rPr>
        <w:t>ReI</w:t>
      </w:r>
      <w:proofErr w:type="spellEnd"/>
      <w:r>
        <w:rPr>
          <w:rFonts w:ascii="DecimaWE Rg" w:hAnsi="DecimaWE Rg"/>
        </w:rPr>
        <w:t xml:space="preserve">, una </w:t>
      </w:r>
      <w:r w:rsidRPr="00344A13">
        <w:rPr>
          <w:rFonts w:ascii="DecimaWE Rg" w:hAnsi="DecimaWE Rg"/>
        </w:rPr>
        <w:t>valutazione professionale, anche integrata tra servizi sociali e servizi del lavoro</w:t>
      </w:r>
      <w:r>
        <w:rPr>
          <w:rFonts w:ascii="DecimaWE Rg" w:hAnsi="DecimaWE Rg"/>
        </w:rPr>
        <w:t>,</w:t>
      </w:r>
      <w:r w:rsidRPr="00344A13">
        <w:rPr>
          <w:rFonts w:ascii="DecimaWE Rg" w:hAnsi="DecimaWE Rg"/>
        </w:rPr>
        <w:t xml:space="preserve"> a seguito di una prima </w:t>
      </w:r>
      <w:proofErr w:type="spellStart"/>
      <w:r w:rsidRPr="00344A13">
        <w:rPr>
          <w:rFonts w:ascii="DecimaWE Rg" w:hAnsi="DecimaWE Rg"/>
        </w:rPr>
        <w:t>profilazione</w:t>
      </w:r>
      <w:proofErr w:type="spellEnd"/>
      <w:r w:rsidRPr="00344A13">
        <w:rPr>
          <w:rFonts w:ascii="DecimaWE Rg" w:hAnsi="DecimaWE Rg"/>
        </w:rPr>
        <w:t xml:space="preserve"> tramite apposito strumento sperimentale di </w:t>
      </w:r>
      <w:proofErr w:type="spellStart"/>
      <w:r w:rsidRPr="00344A13">
        <w:rPr>
          <w:rFonts w:ascii="DecimaWE Rg" w:hAnsi="DecimaWE Rg"/>
          <w:i/>
        </w:rPr>
        <w:t>pre-assessment</w:t>
      </w:r>
      <w:proofErr w:type="spellEnd"/>
      <w:r w:rsidRPr="00344A13">
        <w:rPr>
          <w:rFonts w:ascii="DecimaWE Rg" w:hAnsi="DecimaWE Rg"/>
          <w:i/>
        </w:rPr>
        <w:t xml:space="preserve"> </w:t>
      </w:r>
      <w:r w:rsidRPr="00344A13">
        <w:rPr>
          <w:rFonts w:ascii="DecimaWE Rg" w:hAnsi="DecimaWE Rg"/>
        </w:rPr>
        <w:t>(ITO</w:t>
      </w:r>
      <w:r w:rsidRPr="00344A13">
        <w:rPr>
          <w:rStyle w:val="Rimandonotaapidipagina"/>
          <w:rFonts w:ascii="DecimaWE Rg" w:hAnsi="DecimaWE Rg"/>
        </w:rPr>
        <w:footnoteReference w:id="16"/>
      </w:r>
      <w:r w:rsidRPr="00344A13">
        <w:rPr>
          <w:rFonts w:ascii="DecimaWE Rg" w:hAnsi="DecimaWE Rg"/>
        </w:rPr>
        <w:t>), la definizione e stipula del Patto di Inclusione</w:t>
      </w:r>
      <w:r w:rsidR="00085DFB">
        <w:rPr>
          <w:rFonts w:ascii="DecimaWE Rg" w:hAnsi="DecimaWE Rg"/>
        </w:rPr>
        <w:t xml:space="preserve"> e</w:t>
      </w:r>
      <w:r>
        <w:rPr>
          <w:rFonts w:ascii="DecimaWE Rg" w:hAnsi="DecimaWE Rg"/>
        </w:rPr>
        <w:t xml:space="preserve"> la verifica del rispetto degli impegni presi</w:t>
      </w:r>
      <w:r w:rsidR="00085DFB">
        <w:rPr>
          <w:rFonts w:ascii="DecimaWE Rg" w:hAnsi="DecimaWE Rg"/>
        </w:rPr>
        <w:t xml:space="preserve"> dai diversi componenti del nucleo beneficiario</w:t>
      </w:r>
      <w:r w:rsidRPr="00344A13">
        <w:rPr>
          <w:rFonts w:ascii="DecimaWE Rg" w:hAnsi="DecimaWE Rg"/>
        </w:rPr>
        <w:t>, a fronte dell’erogazione del contributo economico previsto.</w:t>
      </w:r>
    </w:p>
    <w:p w:rsidR="00454CB6" w:rsidRDefault="004B2DA8" w:rsidP="005C09EC">
      <w:pPr>
        <w:spacing w:after="0"/>
        <w:jc w:val="both"/>
        <w:rPr>
          <w:rFonts w:ascii="DecimaWE Rg" w:hAnsi="DecimaWE Rg"/>
        </w:rPr>
      </w:pPr>
      <w:r>
        <w:rPr>
          <w:rFonts w:ascii="DecimaWE Rg" w:hAnsi="DecimaWE Rg"/>
        </w:rPr>
        <w:t>Con riferimento ai nuclei monitorati</w:t>
      </w:r>
      <w:r w:rsidR="00454CB6">
        <w:rPr>
          <w:rFonts w:ascii="DecimaWE Rg" w:hAnsi="DecimaWE Rg"/>
        </w:rPr>
        <w:t xml:space="preserve"> per le </w:t>
      </w:r>
      <w:r>
        <w:rPr>
          <w:rFonts w:ascii="DecimaWE Rg" w:hAnsi="DecimaWE Rg"/>
        </w:rPr>
        <w:t>d</w:t>
      </w:r>
      <w:r w:rsidR="00BB5CB9">
        <w:rPr>
          <w:rFonts w:ascii="DecimaWE Rg" w:hAnsi="DecimaWE Rg"/>
        </w:rPr>
        <w:t>omande presentate dal 01/01/2018 – 22/10</w:t>
      </w:r>
      <w:r w:rsidRPr="00344A13">
        <w:rPr>
          <w:rFonts w:ascii="DecimaWE Rg" w:hAnsi="DecimaWE Rg"/>
        </w:rPr>
        <w:t>/201</w:t>
      </w:r>
      <w:r w:rsidR="00BB5CB9">
        <w:rPr>
          <w:rFonts w:ascii="DecimaWE Rg" w:hAnsi="DecimaWE Rg"/>
        </w:rPr>
        <w:t>8</w:t>
      </w:r>
      <w:r w:rsidR="00454CB6">
        <w:rPr>
          <w:rFonts w:ascii="DecimaWE Rg" w:hAnsi="DecimaWE Rg"/>
        </w:rPr>
        <w:t xml:space="preserve"> (totale</w:t>
      </w:r>
      <w:r w:rsidRPr="00344A13">
        <w:rPr>
          <w:rFonts w:ascii="DecimaWE Rg" w:hAnsi="DecimaWE Rg"/>
        </w:rPr>
        <w:t xml:space="preserve"> </w:t>
      </w:r>
      <w:r w:rsidR="00BB5CB9">
        <w:rPr>
          <w:rFonts w:ascii="DecimaWE Rg" w:hAnsi="DecimaWE Rg"/>
        </w:rPr>
        <w:t>2</w:t>
      </w:r>
      <w:r w:rsidR="00454CB6">
        <w:rPr>
          <w:rFonts w:ascii="DecimaWE Rg" w:hAnsi="DecimaWE Rg"/>
        </w:rPr>
        <w:t>.</w:t>
      </w:r>
      <w:r w:rsidR="00BB5CB9">
        <w:rPr>
          <w:rFonts w:ascii="DecimaWE Rg" w:hAnsi="DecimaWE Rg"/>
        </w:rPr>
        <w:t xml:space="preserve">498 </w:t>
      </w:r>
      <w:r w:rsidR="00454CB6">
        <w:rPr>
          <w:rFonts w:ascii="DecimaWE Rg" w:hAnsi="DecimaWE Rg"/>
        </w:rPr>
        <w:t xml:space="preserve">nuclei beneficiari) </w:t>
      </w:r>
      <w:r w:rsidR="0057555C">
        <w:rPr>
          <w:rFonts w:ascii="DecimaWE Rg" w:hAnsi="DecimaWE Rg"/>
        </w:rPr>
        <w:t>l’</w:t>
      </w:r>
      <w:r w:rsidR="0057555C" w:rsidRPr="00085DFB">
        <w:rPr>
          <w:rFonts w:ascii="DecimaWE Rg" w:hAnsi="DecimaWE Rg"/>
          <w:b/>
        </w:rPr>
        <w:t>87,5</w:t>
      </w:r>
      <w:r w:rsidR="00085DFB" w:rsidRPr="00085DFB">
        <w:rPr>
          <w:rFonts w:ascii="DecimaWE Rg" w:hAnsi="DecimaWE Rg"/>
          <w:b/>
        </w:rPr>
        <w:t xml:space="preserve">% </w:t>
      </w:r>
      <w:r w:rsidR="00085DFB">
        <w:rPr>
          <w:rFonts w:ascii="DecimaWE Rg" w:hAnsi="DecimaWE Rg"/>
        </w:rPr>
        <w:t xml:space="preserve">del totale </w:t>
      </w:r>
      <w:r w:rsidR="00085DFB" w:rsidRPr="00085DFB">
        <w:rPr>
          <w:rFonts w:ascii="DecimaWE Rg" w:hAnsi="DecimaWE Rg"/>
          <w:b/>
        </w:rPr>
        <w:t>risulta avere</w:t>
      </w:r>
      <w:r w:rsidR="00454CB6" w:rsidRPr="00085DFB">
        <w:rPr>
          <w:rFonts w:ascii="DecimaWE Rg" w:hAnsi="DecimaWE Rg"/>
          <w:b/>
        </w:rPr>
        <w:t xml:space="preserve"> un patto di inclusione</w:t>
      </w:r>
      <w:r w:rsidR="0057555C">
        <w:rPr>
          <w:rFonts w:ascii="DecimaWE Rg" w:hAnsi="DecimaWE Rg"/>
        </w:rPr>
        <w:t xml:space="preserve">, per </w:t>
      </w:r>
      <w:r w:rsidR="0057555C" w:rsidRPr="00085DFB">
        <w:rPr>
          <w:rFonts w:ascii="DecimaWE Rg" w:hAnsi="DecimaWE Rg"/>
        </w:rPr>
        <w:t xml:space="preserve">complessivi </w:t>
      </w:r>
      <w:r w:rsidR="00B55ED4" w:rsidRPr="00085DFB">
        <w:rPr>
          <w:rFonts w:ascii="DecimaWE Rg" w:hAnsi="DecimaWE Rg"/>
          <w:b/>
        </w:rPr>
        <w:t>2.189</w:t>
      </w:r>
      <w:r w:rsidRPr="00085DFB">
        <w:rPr>
          <w:rFonts w:ascii="DecimaWE Rg" w:hAnsi="DecimaWE Rg"/>
          <w:b/>
        </w:rPr>
        <w:t xml:space="preserve"> patti inseriti a sistema</w:t>
      </w:r>
      <w:r>
        <w:rPr>
          <w:rStyle w:val="Rimandonotaapidipagina"/>
          <w:rFonts w:ascii="DecimaWE Rg" w:hAnsi="DecimaWE Rg"/>
        </w:rPr>
        <w:footnoteReference w:id="17"/>
      </w:r>
      <w:r w:rsidR="0009174A">
        <w:rPr>
          <w:rFonts w:ascii="DecimaWE Rg" w:hAnsi="DecimaWE Rg"/>
        </w:rPr>
        <w:t>.</w:t>
      </w:r>
    </w:p>
    <w:p w:rsidR="00454CB6" w:rsidRDefault="00454CB6" w:rsidP="005C09EC">
      <w:pPr>
        <w:spacing w:after="0"/>
        <w:jc w:val="both"/>
        <w:rPr>
          <w:rFonts w:ascii="DecimaWE Rg" w:hAnsi="DecimaWE Rg"/>
        </w:rPr>
      </w:pPr>
      <w:r>
        <w:rPr>
          <w:rFonts w:ascii="DecimaWE Rg" w:hAnsi="DecimaWE Rg"/>
        </w:rPr>
        <w:t>La</w:t>
      </w:r>
      <w:r w:rsidR="0057555C">
        <w:rPr>
          <w:rFonts w:ascii="DecimaWE Rg" w:hAnsi="DecimaWE Rg"/>
        </w:rPr>
        <w:t xml:space="preserve"> percentuale di nuclei con patto </w:t>
      </w:r>
      <w:r>
        <w:rPr>
          <w:rFonts w:ascii="DecimaWE Rg" w:hAnsi="DecimaWE Rg"/>
        </w:rPr>
        <w:t>risulta sensibilmente aumentata</w:t>
      </w:r>
      <w:r w:rsidR="0057555C">
        <w:rPr>
          <w:rFonts w:ascii="DecimaWE Rg" w:hAnsi="DecimaWE Rg"/>
        </w:rPr>
        <w:t xml:space="preserve"> nel triennio di sperimentazione</w:t>
      </w:r>
      <w:r>
        <w:rPr>
          <w:rFonts w:ascii="DecimaWE Rg" w:hAnsi="DecimaWE Rg"/>
        </w:rPr>
        <w:t>,</w:t>
      </w:r>
      <w:r w:rsidR="0057555C">
        <w:rPr>
          <w:rFonts w:ascii="DecimaWE Rg" w:hAnsi="DecimaWE Rg"/>
        </w:rPr>
        <w:t xml:space="preserve"> passando dal </w:t>
      </w:r>
      <w:r>
        <w:rPr>
          <w:rFonts w:ascii="DecimaWE Rg" w:hAnsi="DecimaWE Rg"/>
        </w:rPr>
        <w:t xml:space="preserve">66,5% dei nuclei con patto </w:t>
      </w:r>
      <w:r w:rsidR="0057555C">
        <w:rPr>
          <w:rFonts w:ascii="DecimaWE Rg" w:hAnsi="DecimaWE Rg"/>
        </w:rPr>
        <w:t>a</w:t>
      </w:r>
      <w:r>
        <w:rPr>
          <w:rFonts w:ascii="DecimaWE Rg" w:hAnsi="DecimaWE Rg"/>
        </w:rPr>
        <w:t>l primo</w:t>
      </w:r>
      <w:r w:rsidR="0057555C">
        <w:rPr>
          <w:rFonts w:ascii="DecimaWE Rg" w:hAnsi="DecimaWE Rg"/>
        </w:rPr>
        <w:t xml:space="preserve"> monitoraggio </w:t>
      </w:r>
      <w:r w:rsidR="00085DFB">
        <w:rPr>
          <w:rFonts w:ascii="DecimaWE Rg" w:hAnsi="DecimaWE Rg"/>
        </w:rPr>
        <w:t>(</w:t>
      </w:r>
      <w:r w:rsidR="0057555C">
        <w:rPr>
          <w:rFonts w:ascii="DecimaWE Rg" w:hAnsi="DecimaWE Rg"/>
        </w:rPr>
        <w:t>domande 2015-2016</w:t>
      </w:r>
      <w:r w:rsidR="00085DFB">
        <w:rPr>
          <w:rFonts w:ascii="DecimaWE Rg" w:hAnsi="DecimaWE Rg"/>
        </w:rPr>
        <w:t>)</w:t>
      </w:r>
      <w:r w:rsidR="0057555C">
        <w:rPr>
          <w:rFonts w:ascii="DecimaWE Rg" w:hAnsi="DecimaWE Rg"/>
        </w:rPr>
        <w:t xml:space="preserve">, al 79% </w:t>
      </w:r>
      <w:r>
        <w:rPr>
          <w:rFonts w:ascii="DecimaWE Rg" w:hAnsi="DecimaWE Rg"/>
        </w:rPr>
        <w:t>d</w:t>
      </w:r>
      <w:r w:rsidR="0057555C">
        <w:rPr>
          <w:rFonts w:ascii="DecimaWE Rg" w:hAnsi="DecimaWE Rg"/>
        </w:rPr>
        <w:t>i nuclei</w:t>
      </w:r>
      <w:r>
        <w:rPr>
          <w:rFonts w:ascii="DecimaWE Rg" w:hAnsi="DecimaWE Rg"/>
        </w:rPr>
        <w:t xml:space="preserve"> con patto per le domande presentate n</w:t>
      </w:r>
      <w:r w:rsidR="0057555C">
        <w:rPr>
          <w:rFonts w:ascii="DecimaWE Rg" w:hAnsi="DecimaWE Rg"/>
        </w:rPr>
        <w:t>el 2017</w:t>
      </w:r>
      <w:r>
        <w:rPr>
          <w:rFonts w:ascii="DecimaWE Rg" w:hAnsi="DecimaWE Rg"/>
        </w:rPr>
        <w:t>,</w:t>
      </w:r>
      <w:r w:rsidR="0057555C">
        <w:rPr>
          <w:rFonts w:ascii="DecimaWE Rg" w:hAnsi="DecimaWE Rg"/>
        </w:rPr>
        <w:t xml:space="preserve"> al 87,5% del 2018</w:t>
      </w:r>
      <w:r>
        <w:rPr>
          <w:rFonts w:ascii="DecimaWE Rg" w:hAnsi="DecimaWE Rg"/>
        </w:rPr>
        <w:t>. Sicuramente il minor afflusso registrato ha favorito un lavoro più puntuale anche sotto il profilo della registrazione dei dati a sistema</w:t>
      </w:r>
      <w:r w:rsidR="00085DFB">
        <w:rPr>
          <w:rFonts w:ascii="DecimaWE Rg" w:hAnsi="DecimaWE Rg"/>
        </w:rPr>
        <w:t>, ma</w:t>
      </w:r>
      <w:r w:rsidR="007F1CFB">
        <w:rPr>
          <w:rFonts w:ascii="DecimaWE Rg" w:hAnsi="DecimaWE Rg"/>
        </w:rPr>
        <w:t>,</w:t>
      </w:r>
      <w:r w:rsidR="00085DFB">
        <w:rPr>
          <w:rFonts w:ascii="DecimaWE Rg" w:hAnsi="DecimaWE Rg"/>
        </w:rPr>
        <w:t xml:space="preserve"> nel complesso</w:t>
      </w:r>
      <w:r w:rsidR="007F1CFB">
        <w:rPr>
          <w:rFonts w:ascii="DecimaWE Rg" w:hAnsi="DecimaWE Rg"/>
        </w:rPr>
        <w:t>, è anche possibile rilevare il</w:t>
      </w:r>
      <w:r w:rsidR="00085DFB">
        <w:rPr>
          <w:rFonts w:ascii="DecimaWE Rg" w:hAnsi="DecimaWE Rg"/>
        </w:rPr>
        <w:t xml:space="preserve"> consolidamento di un’importante metodologia di lavoro e un </w:t>
      </w:r>
      <w:r w:rsidR="007F1CFB">
        <w:rPr>
          <w:rFonts w:ascii="DecimaWE Rg" w:hAnsi="DecimaWE Rg"/>
        </w:rPr>
        <w:t xml:space="preserve">generale </w:t>
      </w:r>
      <w:r w:rsidR="00085DFB">
        <w:rPr>
          <w:rFonts w:ascii="DecimaWE Rg" w:hAnsi="DecimaWE Rg"/>
        </w:rPr>
        <w:t xml:space="preserve">affinamento degli strumenti </w:t>
      </w:r>
      <w:r w:rsidR="007F1CFB">
        <w:rPr>
          <w:rFonts w:ascii="DecimaWE Rg" w:hAnsi="DecimaWE Rg"/>
        </w:rPr>
        <w:t xml:space="preserve">di valutazione e progettazione personalizzata </w:t>
      </w:r>
      <w:r w:rsidR="00085DFB">
        <w:rPr>
          <w:rFonts w:ascii="DecimaWE Rg" w:hAnsi="DecimaWE Rg"/>
        </w:rPr>
        <w:t>condivisi</w:t>
      </w:r>
      <w:r>
        <w:rPr>
          <w:rFonts w:ascii="DecimaWE Rg" w:hAnsi="DecimaWE Rg"/>
        </w:rPr>
        <w:t xml:space="preserve">. </w:t>
      </w:r>
    </w:p>
    <w:p w:rsidR="008C4E3F" w:rsidRDefault="008C4E3F" w:rsidP="005C09EC">
      <w:pPr>
        <w:spacing w:after="0"/>
        <w:jc w:val="both"/>
        <w:rPr>
          <w:rFonts w:ascii="DecimaWE Rg" w:hAnsi="DecimaWE Rg"/>
        </w:rPr>
      </w:pPr>
    </w:p>
    <w:p w:rsidR="002C2EE7" w:rsidRDefault="004B2DA8" w:rsidP="005C09EC">
      <w:pPr>
        <w:spacing w:after="0"/>
        <w:jc w:val="both"/>
        <w:rPr>
          <w:rFonts w:ascii="DecimaWE Rg" w:hAnsi="DecimaWE Rg"/>
          <w:color w:val="FF0000"/>
        </w:rPr>
      </w:pPr>
      <w:r w:rsidRPr="005C4FCA">
        <w:rPr>
          <w:rFonts w:ascii="DecimaWE Rg" w:hAnsi="DecimaWE Rg"/>
        </w:rPr>
        <w:lastRenderedPageBreak/>
        <w:t xml:space="preserve">Il </w:t>
      </w:r>
      <w:r w:rsidRPr="004F3FC5">
        <w:rPr>
          <w:rFonts w:ascii="DecimaWE Rg" w:hAnsi="DecimaWE Rg"/>
        </w:rPr>
        <w:t>dato regionale riferito alla quota di nuclei beneficiari con patto di inclusione, risulta molto più contenuto</w:t>
      </w:r>
      <w:r w:rsidR="007F1CFB" w:rsidRPr="004F3FC5">
        <w:rPr>
          <w:rFonts w:ascii="DecimaWE Rg" w:hAnsi="DecimaWE Rg"/>
        </w:rPr>
        <w:t xml:space="preserve"> in alcuni Ambiti territoriali (</w:t>
      </w:r>
      <w:r w:rsidR="005C4FCA" w:rsidRPr="004F3FC5">
        <w:rPr>
          <w:rFonts w:ascii="DecimaWE Rg" w:hAnsi="DecimaWE Rg"/>
        </w:rPr>
        <w:t>SSC Collinare e Natisone</w:t>
      </w:r>
      <w:r w:rsidR="007F1CFB" w:rsidRPr="004F3FC5">
        <w:rPr>
          <w:rFonts w:ascii="DecimaWE Rg" w:hAnsi="DecimaWE Rg"/>
        </w:rPr>
        <w:t>)</w:t>
      </w:r>
      <w:r w:rsidR="00422BDA" w:rsidRPr="004F3FC5">
        <w:rPr>
          <w:rFonts w:ascii="DecimaWE Rg" w:hAnsi="DecimaWE Rg"/>
        </w:rPr>
        <w:t>,</w:t>
      </w:r>
      <w:r w:rsidRPr="004F3FC5">
        <w:rPr>
          <w:rFonts w:ascii="DecimaWE Rg" w:hAnsi="DecimaWE Rg"/>
        </w:rPr>
        <w:t xml:space="preserve"> </w:t>
      </w:r>
      <w:r w:rsidR="005C4FCA" w:rsidRPr="004F3FC5">
        <w:rPr>
          <w:rFonts w:ascii="DecimaWE Rg" w:hAnsi="DecimaWE Rg"/>
        </w:rPr>
        <w:t>mentre in 12</w:t>
      </w:r>
      <w:r w:rsidRPr="004F3FC5">
        <w:rPr>
          <w:rFonts w:ascii="DecimaWE Rg" w:hAnsi="DecimaWE Rg"/>
        </w:rPr>
        <w:t xml:space="preserve"> territori si raggi</w:t>
      </w:r>
      <w:r w:rsidR="005C4FCA" w:rsidRPr="004F3FC5">
        <w:rPr>
          <w:rFonts w:ascii="DecimaWE Rg" w:hAnsi="DecimaWE Rg"/>
        </w:rPr>
        <w:t>unge o si supera la quota del 90</w:t>
      </w:r>
      <w:r w:rsidRPr="004F3FC5">
        <w:rPr>
          <w:rFonts w:ascii="DecimaWE Rg" w:hAnsi="DecimaWE Rg"/>
        </w:rPr>
        <w:t>% d</w:t>
      </w:r>
      <w:r w:rsidR="007F1CFB" w:rsidRPr="004F3FC5">
        <w:rPr>
          <w:rFonts w:ascii="DecimaWE Rg" w:hAnsi="DecimaWE Rg"/>
        </w:rPr>
        <w:t>ei nuclei beneficiari con patto, s</w:t>
      </w:r>
      <w:r w:rsidRPr="004F3FC5">
        <w:rPr>
          <w:rFonts w:ascii="DecimaWE Rg" w:hAnsi="DecimaWE Rg"/>
        </w:rPr>
        <w:t>i può pertanto ritenere raggiunto l’importante obiettivo di aver orientato il lavoro degli operatori in ottica progettuale attraverso una presa in c</w:t>
      </w:r>
      <w:r w:rsidR="002C2EE7" w:rsidRPr="004F3FC5">
        <w:rPr>
          <w:rFonts w:ascii="DecimaWE Rg" w:hAnsi="DecimaWE Rg"/>
        </w:rPr>
        <w:t>arico personalizzata dei nuclei, che in diversi casi evi</w:t>
      </w:r>
      <w:r w:rsidR="00E2214F" w:rsidRPr="004F3FC5">
        <w:rPr>
          <w:rFonts w:ascii="DecimaWE Rg" w:hAnsi="DecimaWE Rg"/>
        </w:rPr>
        <w:t xml:space="preserve">denzia anche una ricchezza di obiettivi e azioni attribuiti a diversi componenti del nucleo. </w:t>
      </w:r>
    </w:p>
    <w:p w:rsidR="004B2DA8" w:rsidRPr="00AB1688" w:rsidRDefault="004B2DA8" w:rsidP="005C09EC">
      <w:pPr>
        <w:spacing w:after="0"/>
        <w:jc w:val="both"/>
        <w:rPr>
          <w:rFonts w:ascii="DecimaWE Rg" w:hAnsi="DecimaWE Rg"/>
        </w:rPr>
      </w:pPr>
      <w:r w:rsidRPr="00AB1688">
        <w:rPr>
          <w:rFonts w:ascii="DecimaWE Rg" w:hAnsi="DecimaWE Rg"/>
        </w:rPr>
        <w:t>A livello generale r</w:t>
      </w:r>
      <w:r w:rsidR="005C4FCA" w:rsidRPr="00AB1688">
        <w:rPr>
          <w:rFonts w:ascii="DecimaWE Rg" w:hAnsi="DecimaWE Rg"/>
        </w:rPr>
        <w:t xml:space="preserve">isulta che </w:t>
      </w:r>
      <w:r w:rsidR="00AB1688">
        <w:rPr>
          <w:rFonts w:ascii="DecimaWE Rg" w:hAnsi="DecimaWE Rg"/>
        </w:rPr>
        <w:t>poco più del</w:t>
      </w:r>
      <w:r w:rsidR="005C4FCA" w:rsidRPr="00AB1688">
        <w:rPr>
          <w:rFonts w:ascii="DecimaWE Rg" w:hAnsi="DecimaWE Rg"/>
        </w:rPr>
        <w:t xml:space="preserve">la metà dei nuclei </w:t>
      </w:r>
      <w:r w:rsidR="00AB1688">
        <w:rPr>
          <w:rFonts w:ascii="DecimaWE Rg" w:hAnsi="DecimaWE Rg"/>
        </w:rPr>
        <w:t xml:space="preserve">beneficiari </w:t>
      </w:r>
      <w:r w:rsidR="005C4FCA" w:rsidRPr="00AB1688">
        <w:rPr>
          <w:rFonts w:ascii="DecimaWE Rg" w:hAnsi="DecimaWE Rg"/>
        </w:rPr>
        <w:t>(</w:t>
      </w:r>
      <w:r w:rsidR="00AB1688">
        <w:rPr>
          <w:rFonts w:ascii="DecimaWE Rg" w:hAnsi="DecimaWE Rg"/>
        </w:rPr>
        <w:t xml:space="preserve">il </w:t>
      </w:r>
      <w:r w:rsidR="005C4FCA" w:rsidRPr="00AB1688">
        <w:rPr>
          <w:rFonts w:ascii="DecimaWE Rg" w:hAnsi="DecimaWE Rg"/>
        </w:rPr>
        <w:t>52</w:t>
      </w:r>
      <w:r w:rsidRPr="00AB1688">
        <w:rPr>
          <w:rFonts w:ascii="DecimaWE Rg" w:hAnsi="DecimaWE Rg"/>
        </w:rPr>
        <w:t xml:space="preserve">%) </w:t>
      </w:r>
      <w:r w:rsidR="005C4FCA" w:rsidRPr="00AB1688">
        <w:rPr>
          <w:rFonts w:ascii="DecimaWE Rg" w:hAnsi="DecimaWE Rg"/>
        </w:rPr>
        <w:t xml:space="preserve">persegue </w:t>
      </w:r>
      <w:r w:rsidRPr="00AB1688">
        <w:rPr>
          <w:rFonts w:ascii="DecimaWE Rg" w:hAnsi="DecimaWE Rg"/>
        </w:rPr>
        <w:t xml:space="preserve">esclusivamente obiettivi riferiti all’area sociale (abitativa in particolare, ma anche relazionale e dell’autonomia personale o delle cure genitoriali e parentali) </w:t>
      </w:r>
      <w:r w:rsidR="00AB1688">
        <w:rPr>
          <w:rFonts w:ascii="DecimaWE Rg" w:hAnsi="DecimaWE Rg"/>
        </w:rPr>
        <w:t xml:space="preserve">impegnandosi pertanto a raggiungere una finalità </w:t>
      </w:r>
      <w:r w:rsidRPr="00AB1688">
        <w:rPr>
          <w:rFonts w:ascii="DecimaWE Rg" w:hAnsi="DecimaWE Rg"/>
        </w:rPr>
        <w:t xml:space="preserve">di inclusione sociale. L’altra metà dei </w:t>
      </w:r>
      <w:r w:rsidR="00AB1688">
        <w:rPr>
          <w:rFonts w:ascii="DecimaWE Rg" w:hAnsi="DecimaWE Rg"/>
        </w:rPr>
        <w:t xml:space="preserve">nuclei, invece, </w:t>
      </w:r>
      <w:r w:rsidR="00AB1688" w:rsidRPr="00AB1688">
        <w:rPr>
          <w:rFonts w:ascii="DecimaWE Rg" w:hAnsi="DecimaWE Rg"/>
        </w:rPr>
        <w:t xml:space="preserve">persegue </w:t>
      </w:r>
      <w:r w:rsidRPr="00AB1688">
        <w:rPr>
          <w:rFonts w:ascii="DecimaWE Rg" w:hAnsi="DecimaWE Rg"/>
        </w:rPr>
        <w:t>anche obiettivi riferiti all’area lavoro e/o formativa</w:t>
      </w:r>
      <w:r w:rsidR="002C2EE7">
        <w:rPr>
          <w:rFonts w:ascii="DecimaWE Rg" w:hAnsi="DecimaWE Rg"/>
        </w:rPr>
        <w:t>,</w:t>
      </w:r>
      <w:r w:rsidR="007A5052">
        <w:rPr>
          <w:rFonts w:ascii="DecimaWE Rg" w:hAnsi="DecimaWE Rg"/>
        </w:rPr>
        <w:t xml:space="preserve"> oltre a</w:t>
      </w:r>
      <w:r w:rsidRPr="00AB1688">
        <w:rPr>
          <w:rFonts w:ascii="DecimaWE Rg" w:hAnsi="DecimaWE Rg"/>
        </w:rPr>
        <w:t xml:space="preserve"> </w:t>
      </w:r>
      <w:r w:rsidR="00AB1688">
        <w:rPr>
          <w:rFonts w:ascii="DecimaWE Rg" w:hAnsi="DecimaWE Rg"/>
        </w:rPr>
        <w:t>quell</w:t>
      </w:r>
      <w:r w:rsidRPr="00AB1688">
        <w:rPr>
          <w:rFonts w:ascii="DecimaWE Rg" w:hAnsi="DecimaWE Rg"/>
        </w:rPr>
        <w:t>i</w:t>
      </w:r>
      <w:r w:rsidR="002C2EE7">
        <w:rPr>
          <w:rFonts w:ascii="DecimaWE Rg" w:hAnsi="DecimaWE Rg"/>
        </w:rPr>
        <w:t xml:space="preserve"> di area prettamente sociale</w:t>
      </w:r>
      <w:r w:rsidRPr="00AB1688">
        <w:rPr>
          <w:rFonts w:ascii="DecimaWE Rg" w:hAnsi="DecimaWE Rg"/>
        </w:rPr>
        <w:t xml:space="preserve"> (solo </w:t>
      </w:r>
      <w:r w:rsidR="00AB1688" w:rsidRPr="00AB1688">
        <w:rPr>
          <w:rFonts w:ascii="DecimaWE Rg" w:hAnsi="DecimaWE Rg"/>
        </w:rPr>
        <w:t>il 2,6% dei nuclei beneficiari to</w:t>
      </w:r>
      <w:r w:rsidR="002C2EE7">
        <w:rPr>
          <w:rFonts w:ascii="DecimaWE Rg" w:hAnsi="DecimaWE Rg"/>
        </w:rPr>
        <w:t>tali persegue</w:t>
      </w:r>
      <w:r w:rsidR="00AB1688" w:rsidRPr="00AB1688">
        <w:rPr>
          <w:rFonts w:ascii="DecimaWE Rg" w:hAnsi="DecimaWE Rg"/>
        </w:rPr>
        <w:t xml:space="preserve"> e</w:t>
      </w:r>
      <w:r w:rsidRPr="00AB1688">
        <w:rPr>
          <w:rFonts w:ascii="DecimaWE Rg" w:hAnsi="DecimaWE Rg"/>
        </w:rPr>
        <w:t>sclusivamente obiettivi</w:t>
      </w:r>
      <w:r w:rsidR="00AB1688">
        <w:rPr>
          <w:rFonts w:ascii="DecimaWE Rg" w:hAnsi="DecimaWE Rg"/>
        </w:rPr>
        <w:t xml:space="preserve"> di area lavoro e/o formativa).</w:t>
      </w:r>
      <w:r w:rsidR="004A1438">
        <w:rPr>
          <w:rFonts w:ascii="DecimaWE Rg" w:hAnsi="DecimaWE Rg"/>
        </w:rPr>
        <w:t xml:space="preserve"> </w:t>
      </w:r>
      <w:r w:rsidR="00957C3B">
        <w:rPr>
          <w:rFonts w:ascii="DecimaWE Rg" w:hAnsi="DecimaWE Rg"/>
        </w:rPr>
        <w:t>Andando ad analizzare la distribuzione dei patti per aree obiettivo, ricordando che lo stesso patto può afferire a più aree obiettivo contemporaneamente, è possibile evidenziare che, anche rispetto a quanto rilevato nei precedenti m</w:t>
      </w:r>
      <w:r w:rsidR="004A1438">
        <w:rPr>
          <w:rFonts w:ascii="DecimaWE Rg" w:hAnsi="DecimaWE Rg"/>
        </w:rPr>
        <w:t>onitoraggi</w:t>
      </w:r>
      <w:r w:rsidR="00957C3B">
        <w:rPr>
          <w:rFonts w:ascii="DecimaWE Rg" w:hAnsi="DecimaWE Rg"/>
        </w:rPr>
        <w:t>, si</w:t>
      </w:r>
      <w:r w:rsidR="004A1438">
        <w:rPr>
          <w:rFonts w:ascii="DecimaWE Rg" w:hAnsi="DecimaWE Rg"/>
        </w:rPr>
        <w:t xml:space="preserve"> conferma </w:t>
      </w:r>
      <w:r w:rsidR="00957C3B">
        <w:rPr>
          <w:rFonts w:ascii="DecimaWE Rg" w:hAnsi="DecimaWE Rg"/>
        </w:rPr>
        <w:t xml:space="preserve">e in parte si rafforza </w:t>
      </w:r>
      <w:r w:rsidR="004A1438">
        <w:rPr>
          <w:rFonts w:ascii="DecimaWE Rg" w:hAnsi="DecimaWE Rg"/>
        </w:rPr>
        <w:t>il generale orientame</w:t>
      </w:r>
      <w:r w:rsidR="00EC0E9F">
        <w:rPr>
          <w:rFonts w:ascii="DecimaWE Rg" w:hAnsi="DecimaWE Rg"/>
        </w:rPr>
        <w:t>nto progettuale che vede l</w:t>
      </w:r>
      <w:r w:rsidR="00957C3B">
        <w:rPr>
          <w:rFonts w:ascii="DecimaWE Rg" w:hAnsi="DecimaWE Rg"/>
        </w:rPr>
        <w:t>a maggior parte</w:t>
      </w:r>
      <w:r w:rsidR="004A1438">
        <w:rPr>
          <w:rFonts w:ascii="DecimaWE Rg" w:hAnsi="DecimaWE Rg"/>
        </w:rPr>
        <w:t xml:space="preserve"> dei nuclei beneficiari </w:t>
      </w:r>
      <w:r w:rsidR="00957C3B">
        <w:rPr>
          <w:rFonts w:ascii="DecimaWE Rg" w:hAnsi="DecimaWE Rg"/>
        </w:rPr>
        <w:t>perseguire obiettivi</w:t>
      </w:r>
      <w:r w:rsidR="00EC0E9F">
        <w:rPr>
          <w:rFonts w:ascii="DecimaWE Rg" w:hAnsi="DecimaWE Rg"/>
        </w:rPr>
        <w:t xml:space="preserve"> di</w:t>
      </w:r>
      <w:r w:rsidR="00957C3B">
        <w:rPr>
          <w:rFonts w:ascii="DecimaWE Rg" w:hAnsi="DecimaWE Rg"/>
        </w:rPr>
        <w:t xml:space="preserve"> prevalente</w:t>
      </w:r>
      <w:r w:rsidR="00EC0E9F">
        <w:rPr>
          <w:rFonts w:ascii="DecimaWE Rg" w:hAnsi="DecimaWE Rg"/>
        </w:rPr>
        <w:t xml:space="preserve"> inclusione sociale. </w:t>
      </w:r>
      <w:r w:rsidR="004A1438">
        <w:rPr>
          <w:rFonts w:ascii="DecimaWE Rg" w:hAnsi="DecimaWE Rg"/>
        </w:rPr>
        <w:t xml:space="preserve"> </w:t>
      </w:r>
    </w:p>
    <w:p w:rsidR="004B2DA8" w:rsidRDefault="004B2DA8" w:rsidP="005C09EC">
      <w:pPr>
        <w:spacing w:after="0"/>
        <w:jc w:val="both"/>
        <w:rPr>
          <w:rFonts w:ascii="DecimaWE Rg" w:hAnsi="DecimaWE Rg"/>
          <w:highlight w:val="yellow"/>
        </w:rPr>
      </w:pPr>
    </w:p>
    <w:p w:rsidR="006D46B2" w:rsidRDefault="006D46B2" w:rsidP="006D46B2">
      <w:pPr>
        <w:spacing w:after="0" w:line="240" w:lineRule="auto"/>
        <w:jc w:val="both"/>
        <w:rPr>
          <w:rFonts w:ascii="DecimaWE Rg" w:hAnsi="DecimaWE Rg"/>
          <w:i/>
          <w:sz w:val="20"/>
        </w:rPr>
      </w:pPr>
      <w:proofErr w:type="spellStart"/>
      <w:r>
        <w:rPr>
          <w:rFonts w:ascii="DecimaWE Rg" w:hAnsi="DecimaWE Rg"/>
          <w:i/>
          <w:sz w:val="20"/>
        </w:rPr>
        <w:t>Tab</w:t>
      </w:r>
      <w:proofErr w:type="spellEnd"/>
      <w:r>
        <w:rPr>
          <w:rFonts w:ascii="DecimaWE Rg" w:hAnsi="DecimaWE Rg"/>
          <w:i/>
          <w:sz w:val="20"/>
        </w:rPr>
        <w:t xml:space="preserve">. </w:t>
      </w:r>
      <w:r w:rsidRPr="00806392">
        <w:rPr>
          <w:rFonts w:ascii="DecimaWE Rg" w:hAnsi="DecimaWE Rg"/>
          <w:i/>
          <w:sz w:val="20"/>
        </w:rPr>
        <w:t xml:space="preserve">2 – </w:t>
      </w:r>
      <w:r w:rsidR="00FD42D5">
        <w:rPr>
          <w:rFonts w:ascii="DecimaWE Rg" w:hAnsi="DecimaWE Rg"/>
          <w:i/>
          <w:sz w:val="20"/>
        </w:rPr>
        <w:t>Distribuzione per Ambito SSC de</w:t>
      </w:r>
      <w:r w:rsidR="00385A19">
        <w:rPr>
          <w:rFonts w:ascii="DecimaWE Rg" w:hAnsi="DecimaWE Rg"/>
          <w:i/>
          <w:sz w:val="20"/>
        </w:rPr>
        <w:t xml:space="preserve">i nuclei con </w:t>
      </w:r>
      <w:r w:rsidRPr="00806392">
        <w:rPr>
          <w:rFonts w:ascii="DecimaWE Rg" w:hAnsi="DecimaWE Rg"/>
          <w:i/>
          <w:sz w:val="20"/>
        </w:rPr>
        <w:t>patti a sistema</w:t>
      </w:r>
      <w:r w:rsidR="00FD42D5">
        <w:rPr>
          <w:rFonts w:ascii="DecimaWE Rg" w:hAnsi="DecimaWE Rg"/>
          <w:i/>
          <w:sz w:val="20"/>
        </w:rPr>
        <w:t xml:space="preserve">; </w:t>
      </w:r>
      <w:r w:rsidR="00385A19">
        <w:rPr>
          <w:rFonts w:ascii="DecimaWE Rg" w:hAnsi="DecimaWE Rg"/>
          <w:i/>
          <w:sz w:val="20"/>
        </w:rPr>
        <w:t>con indicazione delle</w:t>
      </w:r>
      <w:r w:rsidR="00FD42D5">
        <w:rPr>
          <w:rFonts w:ascii="DecimaWE Rg" w:hAnsi="DecimaWE Rg"/>
          <w:i/>
          <w:sz w:val="20"/>
        </w:rPr>
        <w:t xml:space="preserve"> aree obiettivo contenute nei patti</w:t>
      </w:r>
      <w:r w:rsidR="00385A19">
        <w:rPr>
          <w:rFonts w:ascii="DecimaWE Rg" w:hAnsi="DecimaWE Rg"/>
          <w:i/>
          <w:sz w:val="20"/>
        </w:rPr>
        <w:t xml:space="preserve"> stessi; nuclei senza patto e indicazione della totale dei nuclei beneficiari e della percentuale con patto a sistema.</w:t>
      </w:r>
    </w:p>
    <w:p w:rsidR="00385A19" w:rsidRDefault="00385A19" w:rsidP="006D46B2">
      <w:pPr>
        <w:spacing w:after="0" w:line="240" w:lineRule="auto"/>
        <w:jc w:val="both"/>
        <w:rPr>
          <w:rFonts w:ascii="DecimaWE Rg" w:hAnsi="DecimaWE Rg"/>
          <w:i/>
          <w:sz w:val="20"/>
        </w:rPr>
      </w:pPr>
      <w:r w:rsidRPr="00385A19">
        <w:rPr>
          <w:noProof/>
          <w:lang w:eastAsia="it-IT"/>
        </w:rPr>
        <w:drawing>
          <wp:inline distT="0" distB="0" distL="0" distR="0" wp14:anchorId="45C7C3D6" wp14:editId="1BB0B6BF">
            <wp:extent cx="6120130" cy="3673759"/>
            <wp:effectExtent l="0" t="0" r="0" b="317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7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6B2" w:rsidRPr="006D46B2" w:rsidRDefault="006D46B2" w:rsidP="006D46B2">
      <w:pPr>
        <w:spacing w:after="0"/>
        <w:jc w:val="both"/>
        <w:rPr>
          <w:rFonts w:ascii="DecimaWE Rg" w:hAnsi="DecimaWE Rg"/>
          <w:i/>
          <w:sz w:val="18"/>
          <w:szCs w:val="18"/>
        </w:rPr>
      </w:pPr>
      <w:r w:rsidRPr="008B6D13">
        <w:rPr>
          <w:rFonts w:ascii="DecimaWE Rg" w:hAnsi="DecimaWE Rg"/>
          <w:i/>
          <w:sz w:val="18"/>
          <w:szCs w:val="18"/>
        </w:rPr>
        <w:t xml:space="preserve">Fonte: </w:t>
      </w:r>
      <w:r w:rsidR="00534D68">
        <w:rPr>
          <w:rFonts w:ascii="DecimaWE Rg" w:hAnsi="DecimaWE Rg"/>
          <w:i/>
          <w:sz w:val="18"/>
          <w:szCs w:val="18"/>
        </w:rPr>
        <w:t>per i nuclei SIMIA</w:t>
      </w:r>
      <w:r w:rsidR="00534D68" w:rsidRPr="009A7F7B">
        <w:rPr>
          <w:rFonts w:ascii="DecimaWE Rg" w:hAnsi="DecimaWE Rg"/>
          <w:i/>
          <w:sz w:val="18"/>
        </w:rPr>
        <w:t xml:space="preserve"> – domande </w:t>
      </w:r>
      <w:r w:rsidR="00534D68">
        <w:rPr>
          <w:rFonts w:ascii="DecimaWE Rg" w:hAnsi="DecimaWE Rg"/>
          <w:i/>
          <w:sz w:val="18"/>
        </w:rPr>
        <w:t>registrate dal 01/01/2018 al 22/</w:t>
      </w:r>
      <w:r w:rsidR="00534D68" w:rsidRPr="009A7F7B">
        <w:rPr>
          <w:rFonts w:ascii="DecimaWE Rg" w:hAnsi="DecimaWE Rg"/>
          <w:i/>
          <w:sz w:val="18"/>
        </w:rPr>
        <w:t>10/2018, estrazione dati al 03/05/2019.</w:t>
      </w:r>
      <w:r w:rsidR="00534D68">
        <w:rPr>
          <w:rFonts w:ascii="DecimaWE Rg" w:hAnsi="DecimaWE Rg"/>
          <w:i/>
          <w:sz w:val="18"/>
        </w:rPr>
        <w:t xml:space="preserve">; per i patti </w:t>
      </w:r>
      <w:r w:rsidRPr="008B6D13">
        <w:rPr>
          <w:rFonts w:ascii="DecimaWE Rg" w:hAnsi="DecimaWE Rg"/>
          <w:i/>
          <w:sz w:val="18"/>
          <w:szCs w:val="18"/>
        </w:rPr>
        <w:t>SIMIA CRM patti riferiti ai nuclei beneficiari con d</w:t>
      </w:r>
      <w:r>
        <w:rPr>
          <w:rFonts w:ascii="DecimaWE Rg" w:hAnsi="DecimaWE Rg"/>
          <w:i/>
          <w:sz w:val="18"/>
          <w:szCs w:val="18"/>
        </w:rPr>
        <w:t xml:space="preserve">omande presentate </w:t>
      </w:r>
      <w:r w:rsidR="00534D68">
        <w:rPr>
          <w:rFonts w:ascii="DecimaWE Rg" w:hAnsi="DecimaWE Rg"/>
          <w:i/>
          <w:sz w:val="18"/>
          <w:szCs w:val="18"/>
        </w:rPr>
        <w:t>dal 01/01/2018 – 22</w:t>
      </w:r>
      <w:r w:rsidRPr="006D46B2">
        <w:rPr>
          <w:rFonts w:ascii="DecimaWE Rg" w:hAnsi="DecimaWE Rg"/>
          <w:i/>
          <w:sz w:val="18"/>
          <w:szCs w:val="18"/>
        </w:rPr>
        <w:t>/1</w:t>
      </w:r>
      <w:r w:rsidR="00534D68">
        <w:rPr>
          <w:rFonts w:ascii="DecimaWE Rg" w:hAnsi="DecimaWE Rg"/>
          <w:i/>
          <w:sz w:val="18"/>
          <w:szCs w:val="18"/>
        </w:rPr>
        <w:t>o</w:t>
      </w:r>
      <w:r w:rsidRPr="006D46B2">
        <w:rPr>
          <w:rFonts w:ascii="DecimaWE Rg" w:hAnsi="DecimaWE Rg"/>
          <w:i/>
          <w:sz w:val="18"/>
          <w:szCs w:val="18"/>
        </w:rPr>
        <w:t>/2018; estrazione dati al 09/05/2019.</w:t>
      </w:r>
    </w:p>
    <w:p w:rsidR="006D46B2" w:rsidRDefault="006D46B2" w:rsidP="005C09EC">
      <w:pPr>
        <w:spacing w:after="0"/>
        <w:jc w:val="both"/>
        <w:rPr>
          <w:rFonts w:ascii="DecimaWE Rg" w:hAnsi="DecimaWE Rg"/>
          <w:highlight w:val="yellow"/>
        </w:rPr>
      </w:pPr>
    </w:p>
    <w:p w:rsidR="00534D68" w:rsidRDefault="00534D68" w:rsidP="005C09EC">
      <w:pPr>
        <w:spacing w:after="0"/>
        <w:jc w:val="both"/>
        <w:rPr>
          <w:rFonts w:ascii="DecimaWE Rg" w:hAnsi="DecimaWE Rg"/>
          <w:highlight w:val="yellow"/>
        </w:rPr>
      </w:pPr>
    </w:p>
    <w:p w:rsidR="00534D68" w:rsidRDefault="00534D68" w:rsidP="005C09EC">
      <w:pPr>
        <w:spacing w:after="0"/>
        <w:jc w:val="both"/>
        <w:rPr>
          <w:rFonts w:ascii="DecimaWE Rg" w:hAnsi="DecimaWE Rg"/>
          <w:highlight w:val="yellow"/>
        </w:rPr>
      </w:pPr>
    </w:p>
    <w:p w:rsidR="00534D68" w:rsidRDefault="00534D68" w:rsidP="005C09EC">
      <w:pPr>
        <w:spacing w:after="0"/>
        <w:jc w:val="both"/>
        <w:rPr>
          <w:rFonts w:ascii="DecimaWE Rg" w:hAnsi="DecimaWE Rg"/>
          <w:highlight w:val="yellow"/>
        </w:rPr>
      </w:pPr>
    </w:p>
    <w:p w:rsidR="008641F5" w:rsidRDefault="008641F5" w:rsidP="005C09EC">
      <w:pPr>
        <w:spacing w:after="0"/>
        <w:jc w:val="both"/>
        <w:rPr>
          <w:rFonts w:ascii="DecimaWE Rg" w:hAnsi="DecimaWE Rg"/>
          <w:highlight w:val="yellow"/>
        </w:rPr>
      </w:pPr>
    </w:p>
    <w:p w:rsidR="008641F5" w:rsidRDefault="008641F5" w:rsidP="005C09EC">
      <w:pPr>
        <w:spacing w:after="0"/>
        <w:jc w:val="both"/>
        <w:rPr>
          <w:rFonts w:ascii="DecimaWE Rg" w:hAnsi="DecimaWE Rg"/>
          <w:highlight w:val="yellow"/>
        </w:rPr>
      </w:pPr>
    </w:p>
    <w:p w:rsidR="008641F5" w:rsidRDefault="008641F5" w:rsidP="005C09EC">
      <w:pPr>
        <w:spacing w:after="0"/>
        <w:jc w:val="both"/>
        <w:rPr>
          <w:rFonts w:ascii="DecimaWE Rg" w:hAnsi="DecimaWE Rg"/>
          <w:highlight w:val="yellow"/>
        </w:rPr>
      </w:pPr>
    </w:p>
    <w:p w:rsidR="00534D68" w:rsidRDefault="00534D68" w:rsidP="005C09EC">
      <w:pPr>
        <w:spacing w:after="0"/>
        <w:jc w:val="both"/>
        <w:rPr>
          <w:rFonts w:ascii="DecimaWE Rg" w:hAnsi="DecimaWE Rg"/>
          <w:highlight w:val="yellow"/>
        </w:rPr>
      </w:pPr>
    </w:p>
    <w:p w:rsidR="00FD42D5" w:rsidRDefault="00FD42D5" w:rsidP="00FD42D5">
      <w:pPr>
        <w:spacing w:after="0" w:line="240" w:lineRule="auto"/>
        <w:jc w:val="both"/>
        <w:rPr>
          <w:rFonts w:ascii="DecimaWE Rg" w:hAnsi="DecimaWE Rg"/>
          <w:i/>
          <w:sz w:val="20"/>
        </w:rPr>
      </w:pPr>
      <w:r>
        <w:rPr>
          <w:rFonts w:ascii="DecimaWE Rg" w:hAnsi="DecimaWE Rg"/>
          <w:i/>
          <w:sz w:val="20"/>
        </w:rPr>
        <w:lastRenderedPageBreak/>
        <w:t xml:space="preserve">Graf. </w:t>
      </w:r>
      <w:r w:rsidR="00385A19">
        <w:rPr>
          <w:rFonts w:ascii="DecimaWE Rg" w:hAnsi="DecimaWE Rg"/>
          <w:i/>
          <w:sz w:val="20"/>
        </w:rPr>
        <w:t>9</w:t>
      </w:r>
      <w:r w:rsidRPr="00806392">
        <w:rPr>
          <w:rFonts w:ascii="DecimaWE Rg" w:hAnsi="DecimaWE Rg"/>
          <w:i/>
          <w:sz w:val="20"/>
        </w:rPr>
        <w:t xml:space="preserve"> – Distribuzione </w:t>
      </w:r>
      <w:r>
        <w:rPr>
          <w:rFonts w:ascii="DecimaWE Rg" w:hAnsi="DecimaWE Rg"/>
          <w:i/>
          <w:sz w:val="20"/>
        </w:rPr>
        <w:t xml:space="preserve">percentuale </w:t>
      </w:r>
      <w:r w:rsidRPr="00806392">
        <w:rPr>
          <w:rFonts w:ascii="DecimaWE Rg" w:hAnsi="DecimaWE Rg"/>
          <w:i/>
          <w:sz w:val="20"/>
        </w:rPr>
        <w:t>per Ambito SSC dei nuclei beneficiari con riferimento alle a</w:t>
      </w:r>
      <w:r>
        <w:rPr>
          <w:rFonts w:ascii="DecimaWE Rg" w:hAnsi="DecimaWE Rg"/>
          <w:i/>
          <w:sz w:val="20"/>
        </w:rPr>
        <w:t>ree obiettivo contenute nei patti ad essi riferiti</w:t>
      </w:r>
      <w:r w:rsidR="00385A19">
        <w:rPr>
          <w:rFonts w:ascii="DecimaWE Rg" w:hAnsi="DecimaWE Rg"/>
          <w:i/>
          <w:sz w:val="20"/>
        </w:rPr>
        <w:t xml:space="preserve"> o ai nuclei senza patto.</w:t>
      </w:r>
      <w:r w:rsidRPr="00806392">
        <w:rPr>
          <w:rFonts w:ascii="DecimaWE Rg" w:hAnsi="DecimaWE Rg"/>
          <w:i/>
          <w:sz w:val="20"/>
        </w:rPr>
        <w:t xml:space="preserve"> </w:t>
      </w:r>
    </w:p>
    <w:p w:rsidR="00214B0F" w:rsidRDefault="00214B0F" w:rsidP="00FD42D5">
      <w:pPr>
        <w:spacing w:after="0" w:line="240" w:lineRule="auto"/>
        <w:jc w:val="both"/>
        <w:rPr>
          <w:rFonts w:ascii="DecimaWE Rg" w:hAnsi="DecimaWE Rg"/>
          <w:i/>
          <w:sz w:val="20"/>
        </w:rPr>
      </w:pPr>
      <w:r>
        <w:rPr>
          <w:rFonts w:ascii="DecimaWE Rg" w:hAnsi="DecimaWE Rg"/>
          <w:i/>
          <w:noProof/>
          <w:sz w:val="20"/>
          <w:lang w:eastAsia="it-IT"/>
        </w:rPr>
        <w:drawing>
          <wp:inline distT="0" distB="0" distL="0" distR="0" wp14:anchorId="6FE69779">
            <wp:extent cx="6122822" cy="2658900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541" cy="265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4D68" w:rsidRPr="006D46B2" w:rsidRDefault="00385A19" w:rsidP="00534D68">
      <w:pPr>
        <w:spacing w:after="0"/>
        <w:jc w:val="both"/>
        <w:rPr>
          <w:rFonts w:ascii="DecimaWE Rg" w:hAnsi="DecimaWE Rg"/>
          <w:i/>
          <w:sz w:val="18"/>
          <w:szCs w:val="18"/>
        </w:rPr>
      </w:pPr>
      <w:r w:rsidRPr="008B6D13">
        <w:rPr>
          <w:rFonts w:ascii="DecimaWE Rg" w:hAnsi="DecimaWE Rg"/>
          <w:i/>
          <w:sz w:val="18"/>
          <w:szCs w:val="18"/>
        </w:rPr>
        <w:t xml:space="preserve">Fonte: </w:t>
      </w:r>
      <w:r w:rsidR="00534D68" w:rsidRPr="008B6D13">
        <w:rPr>
          <w:rFonts w:ascii="DecimaWE Rg" w:hAnsi="DecimaWE Rg"/>
          <w:i/>
          <w:sz w:val="18"/>
          <w:szCs w:val="18"/>
        </w:rPr>
        <w:t>SIMIA CRM patti riferiti ai nuclei beneficiari con d</w:t>
      </w:r>
      <w:r w:rsidR="00534D68">
        <w:rPr>
          <w:rFonts w:ascii="DecimaWE Rg" w:hAnsi="DecimaWE Rg"/>
          <w:i/>
          <w:sz w:val="18"/>
          <w:szCs w:val="18"/>
        </w:rPr>
        <w:t>omande presentate dal 01/01/2018 – 22</w:t>
      </w:r>
      <w:r w:rsidR="00534D68" w:rsidRPr="006D46B2">
        <w:rPr>
          <w:rFonts w:ascii="DecimaWE Rg" w:hAnsi="DecimaWE Rg"/>
          <w:i/>
          <w:sz w:val="18"/>
          <w:szCs w:val="18"/>
        </w:rPr>
        <w:t>/1</w:t>
      </w:r>
      <w:r w:rsidR="00534D68">
        <w:rPr>
          <w:rFonts w:ascii="DecimaWE Rg" w:hAnsi="DecimaWE Rg"/>
          <w:i/>
          <w:sz w:val="18"/>
          <w:szCs w:val="18"/>
        </w:rPr>
        <w:t>o</w:t>
      </w:r>
      <w:r w:rsidR="00534D68" w:rsidRPr="006D46B2">
        <w:rPr>
          <w:rFonts w:ascii="DecimaWE Rg" w:hAnsi="DecimaWE Rg"/>
          <w:i/>
          <w:sz w:val="18"/>
          <w:szCs w:val="18"/>
        </w:rPr>
        <w:t>/2018; estrazione dati al 09/05/2019.</w:t>
      </w:r>
    </w:p>
    <w:p w:rsidR="00385A19" w:rsidRDefault="00385A19" w:rsidP="00534D68">
      <w:pPr>
        <w:spacing w:after="0"/>
        <w:jc w:val="both"/>
        <w:rPr>
          <w:rFonts w:ascii="DecimaWE Rg" w:hAnsi="DecimaWE Rg"/>
          <w:i/>
          <w:sz w:val="20"/>
        </w:rPr>
      </w:pPr>
    </w:p>
    <w:p w:rsidR="00534D68" w:rsidRDefault="00534D68" w:rsidP="00534D68">
      <w:pPr>
        <w:spacing w:after="0"/>
        <w:jc w:val="both"/>
        <w:rPr>
          <w:rFonts w:ascii="DecimaWE Rg" w:hAnsi="DecimaWE Rg"/>
          <w:i/>
          <w:sz w:val="20"/>
        </w:rPr>
      </w:pPr>
    </w:p>
    <w:p w:rsidR="00E46247" w:rsidRDefault="002C2EE7" w:rsidP="005C09EC">
      <w:pPr>
        <w:spacing w:after="0"/>
        <w:jc w:val="both"/>
        <w:rPr>
          <w:rFonts w:ascii="DecimaWE Rg" w:hAnsi="DecimaWE Rg"/>
        </w:rPr>
      </w:pPr>
      <w:r>
        <w:rPr>
          <w:rFonts w:ascii="DecimaWE Rg" w:hAnsi="DecimaWE Rg"/>
        </w:rPr>
        <w:t xml:space="preserve">Nella maggior parte dei patti sono stati indicati </w:t>
      </w:r>
      <w:r w:rsidR="007A5052" w:rsidRPr="007A5052">
        <w:rPr>
          <w:rFonts w:ascii="DecimaWE Rg" w:hAnsi="DecimaWE Rg"/>
        </w:rPr>
        <w:t>obiettivi di area abitativa (82</w:t>
      </w:r>
      <w:r w:rsidR="004B2DA8" w:rsidRPr="007A5052">
        <w:rPr>
          <w:rFonts w:ascii="DecimaWE Rg" w:hAnsi="DecimaWE Rg"/>
        </w:rPr>
        <w:t>% del totale dei</w:t>
      </w:r>
      <w:r w:rsidR="004A1438">
        <w:rPr>
          <w:rFonts w:ascii="DecimaWE Rg" w:hAnsi="DecimaWE Rg"/>
        </w:rPr>
        <w:t xml:space="preserve"> patti)</w:t>
      </w:r>
      <w:r w:rsidR="00EC0E9F">
        <w:rPr>
          <w:rFonts w:ascii="DecimaWE Rg" w:hAnsi="DecimaWE Rg"/>
        </w:rPr>
        <w:t xml:space="preserve">, in aumento rispetto ai monitoraggi precedenti, e orientati </w:t>
      </w:r>
      <w:r w:rsidR="004A1438">
        <w:rPr>
          <w:rFonts w:ascii="DecimaWE Rg" w:hAnsi="DecimaWE Rg"/>
        </w:rPr>
        <w:t>in prevalenza</w:t>
      </w:r>
      <w:r w:rsidR="004B2DA8" w:rsidRPr="007A5052">
        <w:rPr>
          <w:rFonts w:ascii="DecimaWE Rg" w:hAnsi="DecimaWE Rg"/>
        </w:rPr>
        <w:t xml:space="preserve"> a “Evitare le insolvenze per utenze e affitti”</w:t>
      </w:r>
      <w:r w:rsidR="004A1438">
        <w:rPr>
          <w:rFonts w:ascii="DecimaWE Rg" w:hAnsi="DecimaWE Rg"/>
        </w:rPr>
        <w:t xml:space="preserve"> (77% degli obiettivi specifici indicati per quest’area)</w:t>
      </w:r>
      <w:r w:rsidR="00EC0E9F">
        <w:rPr>
          <w:rFonts w:ascii="DecimaWE Rg" w:hAnsi="DecimaWE Rg"/>
        </w:rPr>
        <w:t>,</w:t>
      </w:r>
      <w:r w:rsidR="00214B0F">
        <w:rPr>
          <w:rFonts w:ascii="DecimaWE Rg" w:hAnsi="DecimaWE Rg"/>
        </w:rPr>
        <w:t xml:space="preserve"> in misura più marginal</w:t>
      </w:r>
      <w:r w:rsidR="004A1438">
        <w:rPr>
          <w:rFonts w:ascii="DecimaWE Rg" w:hAnsi="DecimaWE Rg"/>
        </w:rPr>
        <w:t>e a “Evitare l’aggravarsi di situazioni debitorie</w:t>
      </w:r>
      <w:r w:rsidR="00EC0E9F">
        <w:rPr>
          <w:rFonts w:ascii="DecimaWE Rg" w:hAnsi="DecimaWE Rg"/>
        </w:rPr>
        <w:t>” o a “Sanare” le stesse (10% degli obiettivi specifici di area abitativa) o a “Trovare un alloggio o un alloggio adeguato” (6% degli obiettivi di area)</w:t>
      </w:r>
      <w:r w:rsidR="00E46247">
        <w:rPr>
          <w:rFonts w:ascii="DecimaWE Rg" w:hAnsi="DecimaWE Rg"/>
        </w:rPr>
        <w:t>.</w:t>
      </w:r>
      <w:r w:rsidR="00EC0E9F">
        <w:rPr>
          <w:rFonts w:ascii="DecimaWE Rg" w:hAnsi="DecimaWE Rg"/>
        </w:rPr>
        <w:t xml:space="preserve"> </w:t>
      </w:r>
      <w:r w:rsidR="00E46247">
        <w:rPr>
          <w:rFonts w:ascii="DecimaWE Rg" w:hAnsi="DecimaWE Rg"/>
        </w:rPr>
        <w:t xml:space="preserve"> </w:t>
      </w:r>
    </w:p>
    <w:p w:rsidR="004B2DA8" w:rsidRPr="007A5052" w:rsidRDefault="00EC0E9F" w:rsidP="005C09EC">
      <w:pPr>
        <w:spacing w:after="0"/>
        <w:jc w:val="both"/>
        <w:rPr>
          <w:rFonts w:ascii="DecimaWE Rg" w:hAnsi="DecimaWE Rg"/>
        </w:rPr>
      </w:pPr>
      <w:r>
        <w:rPr>
          <w:rFonts w:ascii="DecimaWE Rg" w:hAnsi="DecimaWE Rg"/>
        </w:rPr>
        <w:t>La progettazione in</w:t>
      </w:r>
      <w:r w:rsidR="00E46247">
        <w:rPr>
          <w:rFonts w:ascii="DecimaWE Rg" w:hAnsi="DecimaWE Rg"/>
        </w:rPr>
        <w:t xml:space="preserve"> area lavoro </w:t>
      </w:r>
      <w:r>
        <w:rPr>
          <w:rFonts w:ascii="DecimaWE Rg" w:hAnsi="DecimaWE Rg"/>
        </w:rPr>
        <w:t xml:space="preserve">caratterizza </w:t>
      </w:r>
      <w:r w:rsidR="00E46247">
        <w:rPr>
          <w:rFonts w:ascii="DecimaWE Rg" w:hAnsi="DecimaWE Rg"/>
        </w:rPr>
        <w:t xml:space="preserve">il </w:t>
      </w:r>
      <w:r w:rsidR="007A5052">
        <w:rPr>
          <w:rFonts w:ascii="DecimaWE Rg" w:hAnsi="DecimaWE Rg"/>
        </w:rPr>
        <w:t>40</w:t>
      </w:r>
      <w:r w:rsidR="00E46247">
        <w:rPr>
          <w:rFonts w:ascii="DecimaWE Rg" w:hAnsi="DecimaWE Rg"/>
        </w:rPr>
        <w:t>% dei patti</w:t>
      </w:r>
      <w:r>
        <w:rPr>
          <w:rFonts w:ascii="DecimaWE Rg" w:hAnsi="DecimaWE Rg"/>
        </w:rPr>
        <w:t xml:space="preserve">, </w:t>
      </w:r>
      <w:r w:rsidR="00957C3B">
        <w:rPr>
          <w:rFonts w:ascii="DecimaWE Rg" w:hAnsi="DecimaWE Rg"/>
        </w:rPr>
        <w:t>in leggera diminuzione rispetto ai monitoraggi precedenti. I</w:t>
      </w:r>
      <w:r>
        <w:rPr>
          <w:rFonts w:ascii="DecimaWE Rg" w:hAnsi="DecimaWE Rg"/>
        </w:rPr>
        <w:t xml:space="preserve">n particolare viene indicato l’obiettivo volto alla generale </w:t>
      </w:r>
      <w:r w:rsidR="004B2DA8" w:rsidRPr="007A5052">
        <w:rPr>
          <w:rFonts w:ascii="DecimaWE Rg" w:hAnsi="DecimaWE Rg"/>
        </w:rPr>
        <w:t>“Promozione dell’occupabilità”</w:t>
      </w:r>
      <w:r>
        <w:rPr>
          <w:rFonts w:ascii="DecimaWE Rg" w:hAnsi="DecimaWE Rg"/>
        </w:rPr>
        <w:t xml:space="preserve"> (44% degli obiettivi indicati in quest’area)</w:t>
      </w:r>
      <w:r w:rsidR="00957C3B">
        <w:rPr>
          <w:rFonts w:ascii="DecimaWE Rg" w:hAnsi="DecimaWE Rg"/>
        </w:rPr>
        <w:t>, o al</w:t>
      </w:r>
      <w:r w:rsidR="008641F5">
        <w:rPr>
          <w:rFonts w:ascii="DecimaWE Rg" w:hAnsi="DecimaWE Rg"/>
        </w:rPr>
        <w:t>l’</w:t>
      </w:r>
      <w:r w:rsidR="00957C3B">
        <w:rPr>
          <w:rFonts w:ascii="DecimaWE Rg" w:hAnsi="DecimaWE Rg"/>
        </w:rPr>
        <w:t>“ottenimento/mantenimento di un lavoro conciliabile con i tempi familiari di cura” (14% degli obiettivi) o “maggiormente remunerativo” (9% obiettivi) o l’attivazione di un “Percorso di inserimento formativo lavorativo” (9% degli obiettivi).</w:t>
      </w:r>
    </w:p>
    <w:p w:rsidR="004B2DA8" w:rsidRPr="007A5052" w:rsidRDefault="004B2DA8" w:rsidP="005C09EC">
      <w:pPr>
        <w:spacing w:after="0"/>
        <w:jc w:val="both"/>
        <w:rPr>
          <w:rFonts w:ascii="DecimaWE Rg" w:hAnsi="DecimaWE Rg"/>
        </w:rPr>
      </w:pPr>
      <w:r w:rsidRPr="007A5052">
        <w:rPr>
          <w:rFonts w:ascii="DecimaWE Rg" w:hAnsi="DecimaWE Rg"/>
        </w:rPr>
        <w:t xml:space="preserve">L’area socio-relazionale e dell’autonomia personale risulta la terza </w:t>
      </w:r>
      <w:r w:rsidR="00957C3B">
        <w:rPr>
          <w:rFonts w:ascii="DecimaWE Rg" w:hAnsi="DecimaWE Rg"/>
        </w:rPr>
        <w:t>per rilevanza e</w:t>
      </w:r>
      <w:r w:rsidR="007A5052" w:rsidRPr="007A5052">
        <w:rPr>
          <w:rFonts w:ascii="DecimaWE Rg" w:hAnsi="DecimaWE Rg"/>
        </w:rPr>
        <w:t xml:space="preserve"> riguardando il 39</w:t>
      </w:r>
      <w:r w:rsidRPr="007A5052">
        <w:rPr>
          <w:rFonts w:ascii="DecimaWE Rg" w:hAnsi="DecimaWE Rg"/>
        </w:rPr>
        <w:t>% dei patti</w:t>
      </w:r>
      <w:r w:rsidR="00957C3B">
        <w:rPr>
          <w:rFonts w:ascii="DecimaWE Rg" w:hAnsi="DecimaWE Rg"/>
        </w:rPr>
        <w:t>, con obiettivi specifici volti a “Garantire il</w:t>
      </w:r>
      <w:r w:rsidRPr="007A5052">
        <w:rPr>
          <w:rFonts w:ascii="DecimaWE Rg" w:hAnsi="DecimaWE Rg"/>
        </w:rPr>
        <w:t xml:space="preserve"> soddisfacimento delle esigenze primarie della vita quotidiana</w:t>
      </w:r>
      <w:r w:rsidR="00957C3B">
        <w:rPr>
          <w:rFonts w:ascii="DecimaWE Rg" w:hAnsi="DecimaWE Rg"/>
        </w:rPr>
        <w:t>” (68% degli obiettivi di quest’area) e al “Mantenimento e recupero di un buono stato di salute”</w:t>
      </w:r>
      <w:r w:rsidR="006D46B2">
        <w:rPr>
          <w:rFonts w:ascii="DecimaWE Rg" w:hAnsi="DecimaWE Rg"/>
        </w:rPr>
        <w:t xml:space="preserve"> (16%)</w:t>
      </w:r>
      <w:r w:rsidRPr="007A5052">
        <w:rPr>
          <w:rFonts w:ascii="DecimaWE Rg" w:hAnsi="DecimaWE Rg"/>
        </w:rPr>
        <w:t xml:space="preserve">. </w:t>
      </w:r>
    </w:p>
    <w:p w:rsidR="006D46B2" w:rsidRDefault="004B2DA8" w:rsidP="005C09EC">
      <w:pPr>
        <w:spacing w:after="0"/>
        <w:jc w:val="both"/>
        <w:rPr>
          <w:rFonts w:ascii="DecimaWE Rg" w:hAnsi="DecimaWE Rg"/>
        </w:rPr>
      </w:pPr>
      <w:r w:rsidRPr="007A5052">
        <w:rPr>
          <w:rFonts w:ascii="DecimaWE Rg" w:hAnsi="DecimaWE Rg"/>
        </w:rPr>
        <w:t>Il 24% dei patti contiene obiettivi specifici nell’area “Cure genitoriali e parentali”, volti per lo più a garantire ai minori la frequenza scolastica, ma anche la frequentazione di attività extrascolastiche o il potenziamento del ruolo educativo e di cura da parte del genitore.</w:t>
      </w:r>
    </w:p>
    <w:p w:rsidR="004B2DA8" w:rsidRPr="007A5052" w:rsidRDefault="004B2DA8" w:rsidP="005C09EC">
      <w:pPr>
        <w:spacing w:after="0"/>
        <w:jc w:val="both"/>
        <w:rPr>
          <w:rFonts w:ascii="DecimaWE Rg" w:hAnsi="DecimaWE Rg"/>
        </w:rPr>
      </w:pPr>
      <w:r w:rsidRPr="007A5052">
        <w:rPr>
          <w:rFonts w:ascii="DecimaWE Rg" w:hAnsi="DecimaWE Rg"/>
        </w:rPr>
        <w:t xml:space="preserve">Gli obiettivi in area formativa e </w:t>
      </w:r>
      <w:r w:rsidR="007A5052" w:rsidRPr="007A5052">
        <w:rPr>
          <w:rFonts w:ascii="DecimaWE Rg" w:hAnsi="DecimaWE Rg"/>
        </w:rPr>
        <w:t>di</w:t>
      </w:r>
      <w:r w:rsidR="00BA3F65">
        <w:rPr>
          <w:rFonts w:ascii="DecimaWE Rg" w:hAnsi="DecimaWE Rg"/>
        </w:rPr>
        <w:t xml:space="preserve"> orientamento riguardano il 14</w:t>
      </w:r>
      <w:r w:rsidRPr="007A5052">
        <w:rPr>
          <w:rFonts w:ascii="DecimaWE Rg" w:hAnsi="DecimaWE Rg"/>
        </w:rPr>
        <w:t>% dei patti, volti per lo più al conseguimento di titoli di studio o di qualifiche di aggiornamento e riqualificazione.</w:t>
      </w:r>
    </w:p>
    <w:p w:rsidR="004B2DA8" w:rsidRPr="007A5052" w:rsidRDefault="004063BC" w:rsidP="005C09EC">
      <w:pPr>
        <w:spacing w:after="0"/>
        <w:jc w:val="both"/>
        <w:rPr>
          <w:rFonts w:ascii="DecimaWE Rg" w:hAnsi="DecimaWE Rg"/>
        </w:rPr>
      </w:pPr>
      <w:r>
        <w:rPr>
          <w:rFonts w:ascii="DecimaWE Rg" w:hAnsi="DecimaWE Rg"/>
        </w:rPr>
        <w:t>Infine, più residuali</w:t>
      </w:r>
      <w:r w:rsidR="004B2DA8" w:rsidRPr="007A5052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 xml:space="preserve">sono </w:t>
      </w:r>
      <w:r w:rsidR="004B2DA8" w:rsidRPr="007A5052">
        <w:rPr>
          <w:rFonts w:ascii="DecimaWE Rg" w:hAnsi="DecimaWE Rg"/>
        </w:rPr>
        <w:t xml:space="preserve">le aree relative all’esigibilità dei diritti </w:t>
      </w:r>
      <w:r w:rsidR="007A5052" w:rsidRPr="007A5052">
        <w:rPr>
          <w:rFonts w:ascii="DecimaWE Rg" w:hAnsi="DecimaWE Rg"/>
        </w:rPr>
        <w:t>previdenziali e assistenziali (6</w:t>
      </w:r>
      <w:r w:rsidR="004B2DA8" w:rsidRPr="007A5052">
        <w:rPr>
          <w:rFonts w:ascii="DecimaWE Rg" w:hAnsi="DecimaWE Rg"/>
        </w:rPr>
        <w:t>%) e ancor più quella riabilitativa (richiamata nel 3% dei patti) e della partecipazio</w:t>
      </w:r>
      <w:r w:rsidR="00BA3F65">
        <w:rPr>
          <w:rFonts w:ascii="DecimaWE Rg" w:hAnsi="DecimaWE Rg"/>
        </w:rPr>
        <w:t>ne attiva (meno dell’1</w:t>
      </w:r>
      <w:r w:rsidR="004B2DA8" w:rsidRPr="007A5052">
        <w:rPr>
          <w:rFonts w:ascii="DecimaWE Rg" w:hAnsi="DecimaWE Rg"/>
        </w:rPr>
        <w:t>% dei patti).</w:t>
      </w:r>
    </w:p>
    <w:p w:rsidR="004B2DA8" w:rsidRDefault="004B2DA8" w:rsidP="005C09EC">
      <w:pPr>
        <w:spacing w:after="0"/>
        <w:jc w:val="both"/>
        <w:rPr>
          <w:rFonts w:ascii="DecimaWE Rg" w:hAnsi="DecimaWE Rg"/>
        </w:rPr>
      </w:pPr>
    </w:p>
    <w:p w:rsidR="00534D68" w:rsidRDefault="00534D68" w:rsidP="005C09EC">
      <w:pPr>
        <w:spacing w:after="0"/>
        <w:jc w:val="both"/>
        <w:rPr>
          <w:rFonts w:ascii="DecimaWE Rg" w:hAnsi="DecimaWE Rg"/>
        </w:rPr>
      </w:pPr>
    </w:p>
    <w:p w:rsidR="00534D68" w:rsidRDefault="00534D68" w:rsidP="005C09EC">
      <w:pPr>
        <w:spacing w:after="0"/>
        <w:jc w:val="both"/>
        <w:rPr>
          <w:rFonts w:ascii="DecimaWE Rg" w:hAnsi="DecimaWE Rg"/>
        </w:rPr>
      </w:pPr>
    </w:p>
    <w:p w:rsidR="00534D68" w:rsidRDefault="00534D68" w:rsidP="005C09EC">
      <w:pPr>
        <w:spacing w:after="0"/>
        <w:jc w:val="both"/>
        <w:rPr>
          <w:rFonts w:ascii="DecimaWE Rg" w:hAnsi="DecimaWE Rg"/>
        </w:rPr>
      </w:pPr>
    </w:p>
    <w:p w:rsidR="00534D68" w:rsidRDefault="00534D68" w:rsidP="005C09EC">
      <w:pPr>
        <w:spacing w:after="0"/>
        <w:jc w:val="both"/>
        <w:rPr>
          <w:rFonts w:ascii="DecimaWE Rg" w:hAnsi="DecimaWE Rg"/>
        </w:rPr>
      </w:pPr>
    </w:p>
    <w:p w:rsidR="000D3A28" w:rsidRDefault="000D3A28" w:rsidP="005C09EC">
      <w:pPr>
        <w:spacing w:after="0"/>
        <w:jc w:val="both"/>
        <w:rPr>
          <w:rFonts w:ascii="DecimaWE Rg" w:hAnsi="DecimaWE Rg"/>
        </w:rPr>
      </w:pPr>
    </w:p>
    <w:p w:rsidR="00534D68" w:rsidRDefault="00534D68" w:rsidP="005C09EC">
      <w:pPr>
        <w:spacing w:after="0"/>
        <w:jc w:val="both"/>
        <w:rPr>
          <w:rFonts w:ascii="DecimaWE Rg" w:hAnsi="DecimaWE Rg"/>
        </w:rPr>
      </w:pPr>
    </w:p>
    <w:p w:rsidR="00534D68" w:rsidRDefault="00534D68" w:rsidP="005C09EC">
      <w:pPr>
        <w:spacing w:after="0"/>
        <w:jc w:val="both"/>
        <w:rPr>
          <w:rFonts w:ascii="DecimaWE Rg" w:hAnsi="DecimaWE Rg"/>
        </w:rPr>
      </w:pPr>
    </w:p>
    <w:p w:rsidR="006D46B2" w:rsidRDefault="00385A19" w:rsidP="006D46B2">
      <w:pPr>
        <w:spacing w:after="0"/>
        <w:jc w:val="both"/>
        <w:rPr>
          <w:rFonts w:ascii="DecimaWE Rg" w:hAnsi="DecimaWE Rg"/>
          <w:i/>
          <w:sz w:val="20"/>
        </w:rPr>
      </w:pPr>
      <w:r>
        <w:rPr>
          <w:rFonts w:ascii="DecimaWE Rg" w:hAnsi="DecimaWE Rg"/>
          <w:i/>
          <w:sz w:val="20"/>
        </w:rPr>
        <w:lastRenderedPageBreak/>
        <w:t>Graf. 10</w:t>
      </w:r>
      <w:r w:rsidR="006D46B2" w:rsidRPr="008B6D13">
        <w:rPr>
          <w:rFonts w:ascii="DecimaWE Rg" w:hAnsi="DecimaWE Rg"/>
          <w:i/>
          <w:sz w:val="20"/>
        </w:rPr>
        <w:t xml:space="preserve"> – Distribuzione dei patti per area degli obiettivi in essi contenuti (possibilità di più aree obiettivo per ciascun patto).</w:t>
      </w:r>
    </w:p>
    <w:p w:rsidR="00BA3F65" w:rsidRDefault="00BA3F65" w:rsidP="006D46B2">
      <w:pPr>
        <w:spacing w:after="0"/>
        <w:jc w:val="both"/>
        <w:rPr>
          <w:rFonts w:ascii="DecimaWE Rg" w:hAnsi="DecimaWE Rg"/>
          <w:i/>
          <w:sz w:val="20"/>
        </w:rPr>
      </w:pPr>
      <w:r>
        <w:rPr>
          <w:rFonts w:ascii="DecimaWE Rg" w:hAnsi="DecimaWE Rg"/>
          <w:i/>
          <w:noProof/>
          <w:sz w:val="20"/>
          <w:lang w:eastAsia="it-IT"/>
        </w:rPr>
        <w:drawing>
          <wp:inline distT="0" distB="0" distL="0" distR="0" wp14:anchorId="32A9D8D9">
            <wp:extent cx="6071614" cy="1982419"/>
            <wp:effectExtent l="0" t="0" r="571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09" cy="1982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4D68" w:rsidRPr="006D46B2" w:rsidRDefault="00534D68" w:rsidP="00534D68">
      <w:pPr>
        <w:spacing w:after="0"/>
        <w:jc w:val="both"/>
        <w:rPr>
          <w:rFonts w:ascii="DecimaWE Rg" w:hAnsi="DecimaWE Rg"/>
          <w:i/>
          <w:sz w:val="18"/>
          <w:szCs w:val="18"/>
        </w:rPr>
      </w:pPr>
      <w:r w:rsidRPr="008B6D13">
        <w:rPr>
          <w:rFonts w:ascii="DecimaWE Rg" w:hAnsi="DecimaWE Rg"/>
          <w:i/>
          <w:sz w:val="18"/>
          <w:szCs w:val="18"/>
        </w:rPr>
        <w:t>Fonte: SIMIA CRM patti riferiti ai nuclei beneficiari con d</w:t>
      </w:r>
      <w:r>
        <w:rPr>
          <w:rFonts w:ascii="DecimaWE Rg" w:hAnsi="DecimaWE Rg"/>
          <w:i/>
          <w:sz w:val="18"/>
          <w:szCs w:val="18"/>
        </w:rPr>
        <w:t>omande presentate dal 01/01/2018 – 22</w:t>
      </w:r>
      <w:r w:rsidRPr="006D46B2">
        <w:rPr>
          <w:rFonts w:ascii="DecimaWE Rg" w:hAnsi="DecimaWE Rg"/>
          <w:i/>
          <w:sz w:val="18"/>
          <w:szCs w:val="18"/>
        </w:rPr>
        <w:t>/1</w:t>
      </w:r>
      <w:r>
        <w:rPr>
          <w:rFonts w:ascii="DecimaWE Rg" w:hAnsi="DecimaWE Rg"/>
          <w:i/>
          <w:sz w:val="18"/>
          <w:szCs w:val="18"/>
        </w:rPr>
        <w:t>o</w:t>
      </w:r>
      <w:r w:rsidRPr="006D46B2">
        <w:rPr>
          <w:rFonts w:ascii="DecimaWE Rg" w:hAnsi="DecimaWE Rg"/>
          <w:i/>
          <w:sz w:val="18"/>
          <w:szCs w:val="18"/>
        </w:rPr>
        <w:t>/2018; estrazione dati al 09/05/2019.</w:t>
      </w:r>
    </w:p>
    <w:p w:rsidR="006D46B2" w:rsidRDefault="006D46B2" w:rsidP="006D46B2">
      <w:pPr>
        <w:spacing w:after="0"/>
        <w:jc w:val="both"/>
        <w:rPr>
          <w:rFonts w:ascii="DecimaWE Rg" w:hAnsi="DecimaWE Rg"/>
        </w:rPr>
      </w:pPr>
    </w:p>
    <w:p w:rsidR="00813A42" w:rsidRPr="006841A5" w:rsidRDefault="0094643A" w:rsidP="00813A42">
      <w:pPr>
        <w:spacing w:after="0"/>
        <w:jc w:val="both"/>
        <w:rPr>
          <w:rFonts w:ascii="DecimaWE Rg" w:hAnsi="DecimaWE Rg"/>
        </w:rPr>
      </w:pPr>
      <w:r w:rsidRPr="007252E9">
        <w:rPr>
          <w:rFonts w:ascii="DecimaWE Rg" w:hAnsi="DecimaWE Rg"/>
        </w:rPr>
        <w:t xml:space="preserve">Gli obiettivi complessivamente individuati nei patti </w:t>
      </w:r>
      <w:r w:rsidR="006D46B2" w:rsidRPr="007252E9">
        <w:rPr>
          <w:rFonts w:ascii="DecimaWE Rg" w:hAnsi="DecimaWE Rg"/>
        </w:rPr>
        <w:t>qui monitorati sono 5.506</w:t>
      </w:r>
      <w:r w:rsidRPr="007252E9">
        <w:rPr>
          <w:rFonts w:ascii="DecimaWE Rg" w:hAnsi="DecimaWE Rg"/>
        </w:rPr>
        <w:t>, con una media di 2,5 obiettivi</w:t>
      </w:r>
      <w:r w:rsidR="006D46B2" w:rsidRPr="007252E9">
        <w:rPr>
          <w:rFonts w:ascii="DecimaWE Rg" w:hAnsi="DecimaWE Rg"/>
        </w:rPr>
        <w:t xml:space="preserve"> per patto a livello regionale, che impegnano al perseguimento di specif</w:t>
      </w:r>
      <w:r w:rsidR="00401D80" w:rsidRPr="007252E9">
        <w:rPr>
          <w:rFonts w:ascii="DecimaWE Rg" w:hAnsi="DecimaWE Rg"/>
        </w:rPr>
        <w:t>iche azioni correlate 3.187 componenti pari al 47</w:t>
      </w:r>
      <w:r w:rsidRPr="007252E9">
        <w:rPr>
          <w:rFonts w:ascii="DecimaWE Rg" w:hAnsi="DecimaWE Rg"/>
        </w:rPr>
        <w:t>% del totale dei comp</w:t>
      </w:r>
      <w:r w:rsidR="007252E9" w:rsidRPr="007252E9">
        <w:rPr>
          <w:rFonts w:ascii="DecimaWE Rg" w:hAnsi="DecimaWE Rg"/>
        </w:rPr>
        <w:t>onenti beneficiari della misura.</w:t>
      </w:r>
      <w:r w:rsidRPr="007252E9">
        <w:rPr>
          <w:rFonts w:ascii="DecimaWE Rg" w:hAnsi="DecimaWE Rg"/>
        </w:rPr>
        <w:t xml:space="preserve"> </w:t>
      </w:r>
      <w:r w:rsidR="007252E9" w:rsidRPr="007252E9">
        <w:rPr>
          <w:rFonts w:ascii="DecimaWE Rg" w:hAnsi="DecimaWE Rg"/>
        </w:rPr>
        <w:t>E</w:t>
      </w:r>
      <w:r w:rsidRPr="007252E9">
        <w:rPr>
          <w:rFonts w:ascii="DecimaWE Rg" w:hAnsi="DecimaWE Rg"/>
        </w:rPr>
        <w:t xml:space="preserve">scludendo le famiglie unipersonali, il numero medio di </w:t>
      </w:r>
      <w:r w:rsidRPr="006841A5">
        <w:rPr>
          <w:rFonts w:ascii="DecimaWE Rg" w:hAnsi="DecimaWE Rg"/>
        </w:rPr>
        <w:t>componenti per nucleo impegnati al raggiungimento degli obiettivi dei patti è pari a 1,7.</w:t>
      </w:r>
    </w:p>
    <w:p w:rsidR="00813A42" w:rsidRPr="006841A5" w:rsidRDefault="00813A42" w:rsidP="00813A42">
      <w:pPr>
        <w:spacing w:after="0"/>
        <w:jc w:val="both"/>
        <w:rPr>
          <w:rFonts w:ascii="DecimaWE Rg" w:hAnsi="DecimaWE Rg"/>
          <w:sz w:val="20"/>
        </w:rPr>
      </w:pPr>
    </w:p>
    <w:p w:rsidR="006841A5" w:rsidRPr="006841A5" w:rsidRDefault="004B2DA8" w:rsidP="006841A5">
      <w:pPr>
        <w:spacing w:after="0"/>
        <w:jc w:val="both"/>
        <w:rPr>
          <w:rFonts w:ascii="DecimaWE Rg" w:hAnsi="DecimaWE Rg"/>
        </w:rPr>
      </w:pPr>
      <w:r w:rsidRPr="006841A5">
        <w:rPr>
          <w:rFonts w:ascii="DecimaWE Rg" w:hAnsi="DecimaWE Rg"/>
        </w:rPr>
        <w:t>Per quanto riguarda i soggetti attuatori dei patti, in pochi casi vengono indicati servizi diversi dal SSC e, anche i patti contenenti obiettivi in area lavoro e formativa, nella maggior parte dei casi non risultano formalmente condivisi con i Servizi del lavoro (attraverso la validazione da parte di CPI o COR</w:t>
      </w:r>
      <w:r w:rsidRPr="006841A5">
        <w:rPr>
          <w:rStyle w:val="Rimandonotaapidipagina"/>
          <w:rFonts w:ascii="DecimaWE Rg" w:hAnsi="DecimaWE Rg"/>
        </w:rPr>
        <w:footnoteReference w:id="18"/>
      </w:r>
      <w:r w:rsidRPr="006841A5">
        <w:rPr>
          <w:rFonts w:ascii="DecimaWE Rg" w:hAnsi="DecimaWE Rg"/>
        </w:rPr>
        <w:t xml:space="preserve"> degli obiettivi di competenza sul gestionale CRM di registrazione dei patti), che risultano individuati come </w:t>
      </w:r>
      <w:r w:rsidR="00F135D1" w:rsidRPr="006841A5">
        <w:rPr>
          <w:rFonts w:ascii="DecimaWE Rg" w:hAnsi="DecimaWE Rg"/>
        </w:rPr>
        <w:t>soggetti attuatori solo per il 12</w:t>
      </w:r>
      <w:r w:rsidRPr="006841A5">
        <w:rPr>
          <w:rFonts w:ascii="DecimaWE Rg" w:hAnsi="DecimaWE Rg"/>
        </w:rPr>
        <w:t>% dei patti monitorati</w:t>
      </w:r>
      <w:r w:rsidR="00F135D1" w:rsidRPr="006841A5">
        <w:rPr>
          <w:rFonts w:ascii="DecimaWE Rg" w:hAnsi="DecimaWE Rg"/>
        </w:rPr>
        <w:t>, in linea con gli anni precedenti</w:t>
      </w:r>
      <w:r w:rsidR="006841A5" w:rsidRPr="006841A5">
        <w:rPr>
          <w:rFonts w:ascii="DecimaWE Rg" w:hAnsi="DecimaWE Rg"/>
        </w:rPr>
        <w:t>, con un maggior peso del CPI rispetto al COR che risulta attuatore per solo il 2% dei patti. Facendo riferimento ai soli progetti contenenti obiettivi lavoristici la percentuale di quelli formalmente condivisi con CPI e COR sale al 26%</w:t>
      </w:r>
      <w:r w:rsidRPr="006841A5">
        <w:rPr>
          <w:rFonts w:ascii="DecimaWE Rg" w:hAnsi="DecimaWE Rg"/>
        </w:rPr>
        <w:t>.</w:t>
      </w:r>
      <w:r w:rsidR="006841A5" w:rsidRPr="006841A5">
        <w:rPr>
          <w:rFonts w:ascii="DecimaWE Rg" w:hAnsi="DecimaWE Rg"/>
        </w:rPr>
        <w:t xml:space="preserve"> Il dato medio regionale, tuttavia risulta molto più rilevante nei territori dell’Agro Aquileiese (86% dei patti con obiettivi lavoristici hanno CPI o COR tra i soggetti attuatori); Carso Giuliano (86%), </w:t>
      </w:r>
      <w:proofErr w:type="spellStart"/>
      <w:r w:rsidR="006841A5" w:rsidRPr="006841A5">
        <w:rPr>
          <w:rFonts w:ascii="DecimaWE Rg" w:hAnsi="DecimaWE Rg"/>
        </w:rPr>
        <w:t>MedioFriuli</w:t>
      </w:r>
      <w:proofErr w:type="spellEnd"/>
      <w:r w:rsidR="006841A5" w:rsidRPr="006841A5">
        <w:rPr>
          <w:rFonts w:ascii="DecimaWE Rg" w:hAnsi="DecimaWE Rg"/>
        </w:rPr>
        <w:t xml:space="preserve"> (72%). </w:t>
      </w:r>
    </w:p>
    <w:p w:rsidR="006841A5" w:rsidRPr="006841A5" w:rsidRDefault="00047DE0" w:rsidP="005C09EC">
      <w:pPr>
        <w:spacing w:after="0"/>
        <w:jc w:val="both"/>
        <w:rPr>
          <w:rFonts w:ascii="DecimaWE Rg" w:hAnsi="DecimaWE Rg"/>
        </w:rPr>
      </w:pPr>
      <w:r w:rsidRPr="006841A5">
        <w:rPr>
          <w:rFonts w:ascii="DecimaWE Rg" w:hAnsi="DecimaWE Rg"/>
        </w:rPr>
        <w:t xml:space="preserve">Anche il raccordo formalizzato con le Aziende Sanitarie emerge con riferimento a solo il 3% dei patti che vedono indicati questi soggetti tra gli attuatori. </w:t>
      </w:r>
    </w:p>
    <w:p w:rsidR="006841A5" w:rsidRPr="006841A5" w:rsidRDefault="006841A5" w:rsidP="005C09EC">
      <w:pPr>
        <w:spacing w:after="0"/>
        <w:jc w:val="both"/>
        <w:rPr>
          <w:rFonts w:ascii="DecimaWE Rg" w:hAnsi="DecimaWE Rg"/>
        </w:rPr>
      </w:pPr>
      <w:r w:rsidRPr="006841A5">
        <w:rPr>
          <w:rFonts w:ascii="DecimaWE Rg" w:hAnsi="DecimaWE Rg"/>
        </w:rPr>
        <w:t xml:space="preserve">In generale si rileva pertanto il persistere delle difficoltà di integrazione tra i diversi servizi; occorre approfondire se questo dato rispecchia una concreta situazione di mancata collaborazione tra i soggetti del territorio o se, piuttosto, va ricondotto solamente a difficoltà nella formalizzazione dei raccordi o nella registrazione a sistema degli stessi. </w:t>
      </w:r>
    </w:p>
    <w:p w:rsidR="002566F2" w:rsidRDefault="004B2DA8" w:rsidP="00385A19">
      <w:pPr>
        <w:spacing w:after="0"/>
        <w:jc w:val="both"/>
        <w:rPr>
          <w:rFonts w:ascii="DecimaWE Rg" w:eastAsiaTheme="majorEastAsia" w:hAnsi="DecimaWE Rg" w:cstheme="majorBidi"/>
          <w:b/>
          <w:bCs/>
          <w:color w:val="000000" w:themeColor="text1"/>
          <w:highlight w:val="yellow"/>
        </w:rPr>
      </w:pPr>
      <w:r w:rsidRPr="007E1463">
        <w:rPr>
          <w:rFonts w:ascii="DecimaWE Rg" w:hAnsi="DecimaWE Rg"/>
        </w:rPr>
        <w:t xml:space="preserve">Per quanto concerne infine la sperimentazione dello strumento di </w:t>
      </w:r>
      <w:proofErr w:type="spellStart"/>
      <w:r w:rsidRPr="007E1463">
        <w:rPr>
          <w:rFonts w:ascii="DecimaWE Rg" w:hAnsi="DecimaWE Rg"/>
        </w:rPr>
        <w:t>pr</w:t>
      </w:r>
      <w:r w:rsidR="007E1463">
        <w:rPr>
          <w:rFonts w:ascii="DecimaWE Rg" w:hAnsi="DecimaWE Rg"/>
        </w:rPr>
        <w:t>e-assessment</w:t>
      </w:r>
      <w:proofErr w:type="spellEnd"/>
      <w:r w:rsidR="007E1463">
        <w:rPr>
          <w:rFonts w:ascii="DecimaWE Rg" w:hAnsi="DecimaWE Rg"/>
        </w:rPr>
        <w:t xml:space="preserve"> dell’</w:t>
      </w:r>
      <w:proofErr w:type="spellStart"/>
      <w:r w:rsidR="007E1463">
        <w:rPr>
          <w:rFonts w:ascii="DecimaWE Rg" w:hAnsi="DecimaWE Rg"/>
        </w:rPr>
        <w:t>occupabilità</w:t>
      </w:r>
      <w:proofErr w:type="spellEnd"/>
      <w:r w:rsidRPr="007E1463">
        <w:rPr>
          <w:rFonts w:ascii="DecimaWE Rg" w:hAnsi="DecimaWE Rg"/>
        </w:rPr>
        <w:t xml:space="preserve"> </w:t>
      </w:r>
      <w:r w:rsidR="007E1463">
        <w:rPr>
          <w:rFonts w:ascii="DecimaWE Rg" w:hAnsi="DecimaWE Rg"/>
        </w:rPr>
        <w:t>(</w:t>
      </w:r>
      <w:r w:rsidRPr="007E1463">
        <w:rPr>
          <w:rFonts w:ascii="DecimaWE Rg" w:hAnsi="DecimaWE Rg"/>
        </w:rPr>
        <w:t>ITO</w:t>
      </w:r>
      <w:r w:rsidR="007E1463">
        <w:rPr>
          <w:rFonts w:ascii="DecimaWE Rg" w:hAnsi="DecimaWE Rg"/>
        </w:rPr>
        <w:t>- Indicatore Teorico di Occupabilità)</w:t>
      </w:r>
      <w:r w:rsidRPr="007E1463">
        <w:rPr>
          <w:rFonts w:ascii="DecimaWE Rg" w:hAnsi="DecimaWE Rg"/>
        </w:rPr>
        <w:t xml:space="preserve">, si evidenzia che esso è stato utilizzato, con la somministrazione </w:t>
      </w:r>
      <w:r w:rsidR="007E1463">
        <w:rPr>
          <w:rFonts w:ascii="DecimaWE Rg" w:hAnsi="DecimaWE Rg"/>
        </w:rPr>
        <w:t>del questionario di valutazione</w:t>
      </w:r>
      <w:r w:rsidRPr="007E1463">
        <w:rPr>
          <w:rFonts w:ascii="DecimaWE Rg" w:hAnsi="DecimaWE Rg"/>
        </w:rPr>
        <w:t xml:space="preserve"> ad almeno uno dei componenti d</w:t>
      </w:r>
      <w:r w:rsidR="007E1463" w:rsidRPr="007E1463">
        <w:rPr>
          <w:rFonts w:ascii="DecimaWE Rg" w:hAnsi="DecimaWE Rg"/>
        </w:rPr>
        <w:t>el nucleo, con riferimento all’11%</w:t>
      </w:r>
      <w:r w:rsidRPr="007E1463">
        <w:rPr>
          <w:rFonts w:ascii="DecimaWE Rg" w:hAnsi="DecimaWE Rg"/>
        </w:rPr>
        <w:t xml:space="preserve"> dei patti</w:t>
      </w:r>
      <w:r w:rsidR="007E1463" w:rsidRPr="007E1463">
        <w:rPr>
          <w:rFonts w:ascii="DecimaWE Rg" w:hAnsi="DecimaWE Rg"/>
        </w:rPr>
        <w:t xml:space="preserve"> (248)</w:t>
      </w:r>
      <w:r w:rsidRPr="007E1463">
        <w:rPr>
          <w:rFonts w:ascii="DecimaWE Rg" w:hAnsi="DecimaWE Rg"/>
        </w:rPr>
        <w:t>, p</w:t>
      </w:r>
      <w:r w:rsidR="007E1463" w:rsidRPr="007E1463">
        <w:rPr>
          <w:rFonts w:ascii="DecimaWE Rg" w:hAnsi="DecimaWE Rg"/>
        </w:rPr>
        <w:t>er un totale di 293</w:t>
      </w:r>
      <w:r w:rsidRPr="007E1463">
        <w:rPr>
          <w:rFonts w:ascii="DecimaWE Rg" w:hAnsi="DecimaWE Rg"/>
        </w:rPr>
        <w:t xml:space="preserve"> ITO somministrati. </w:t>
      </w:r>
      <w:r w:rsidR="007E1463">
        <w:rPr>
          <w:rFonts w:ascii="DecimaWE Rg" w:hAnsi="DecimaWE Rg"/>
        </w:rPr>
        <w:t xml:space="preserve">La </w:t>
      </w:r>
      <w:r w:rsidRPr="007E1463">
        <w:rPr>
          <w:rFonts w:ascii="DecimaWE Rg" w:hAnsi="DecimaWE Rg"/>
        </w:rPr>
        <w:t>somministrazione dello strumento risulta molto contenuta</w:t>
      </w:r>
      <w:r w:rsidR="007E1463">
        <w:rPr>
          <w:rFonts w:ascii="DecimaWE Rg" w:hAnsi="DecimaWE Rg"/>
        </w:rPr>
        <w:t xml:space="preserve">, in linea con </w:t>
      </w:r>
      <w:r w:rsidRPr="007E1463">
        <w:rPr>
          <w:rFonts w:ascii="DecimaWE Rg" w:hAnsi="DecimaWE Rg"/>
        </w:rPr>
        <w:t>quanto</w:t>
      </w:r>
      <w:r w:rsidR="007E1463">
        <w:rPr>
          <w:rFonts w:ascii="DecimaWE Rg" w:hAnsi="DecimaWE Rg"/>
        </w:rPr>
        <w:t xml:space="preserve"> già</w:t>
      </w:r>
      <w:r w:rsidRPr="007E1463">
        <w:rPr>
          <w:rFonts w:ascii="DecimaWE Rg" w:hAnsi="DecimaWE Rg"/>
        </w:rPr>
        <w:t xml:space="preserve"> evidenzi</w:t>
      </w:r>
      <w:r w:rsidR="007E1463">
        <w:rPr>
          <w:rFonts w:ascii="DecimaWE Rg" w:hAnsi="DecimaWE Rg"/>
        </w:rPr>
        <w:t>ato nel precedente monitoraggio, dopo un iniziale ricorso più sistematic</w:t>
      </w:r>
      <w:r w:rsidR="00D2373E">
        <w:rPr>
          <w:rFonts w:ascii="DecimaWE Rg" w:hAnsi="DecimaWE Rg"/>
        </w:rPr>
        <w:t xml:space="preserve">o a questa modalità di </w:t>
      </w:r>
      <w:proofErr w:type="spellStart"/>
      <w:r w:rsidR="00D2373E">
        <w:rPr>
          <w:rFonts w:ascii="DecimaWE Rg" w:hAnsi="DecimaWE Rg"/>
        </w:rPr>
        <w:t>pre-asse</w:t>
      </w:r>
      <w:r w:rsidR="007E1463">
        <w:rPr>
          <w:rFonts w:ascii="DecimaWE Rg" w:hAnsi="DecimaWE Rg"/>
        </w:rPr>
        <w:t>s</w:t>
      </w:r>
      <w:r w:rsidR="00D2373E">
        <w:rPr>
          <w:rFonts w:ascii="DecimaWE Rg" w:hAnsi="DecimaWE Rg"/>
        </w:rPr>
        <w:t>t</w:t>
      </w:r>
      <w:r w:rsidR="007E1463">
        <w:rPr>
          <w:rFonts w:ascii="DecimaWE Rg" w:hAnsi="DecimaWE Rg"/>
        </w:rPr>
        <w:t>ment</w:t>
      </w:r>
      <w:proofErr w:type="spellEnd"/>
      <w:r w:rsidR="007E1463">
        <w:rPr>
          <w:rFonts w:ascii="DecimaWE Rg" w:hAnsi="DecimaWE Rg"/>
        </w:rPr>
        <w:t xml:space="preserve"> (47% dei patti con ITO al primo monitoraggio) si è probabilmente ricorsi a strumenti diversi anche in linea con quelli proposti dalle misure nazionali</w:t>
      </w:r>
      <w:r w:rsidR="00E12FC9">
        <w:rPr>
          <w:rFonts w:ascii="DecimaWE Rg" w:hAnsi="DecimaWE Rg"/>
        </w:rPr>
        <w:t>.</w:t>
      </w:r>
      <w:r w:rsidR="007E1463">
        <w:rPr>
          <w:rFonts w:ascii="DecimaWE Rg" w:hAnsi="DecimaWE Rg"/>
        </w:rPr>
        <w:t xml:space="preserve"> G</w:t>
      </w:r>
      <w:r w:rsidRPr="007E1463">
        <w:rPr>
          <w:rFonts w:ascii="DecimaWE Rg" w:hAnsi="DecimaWE Rg"/>
        </w:rPr>
        <w:t xml:space="preserve">li esiti ottenuti evidenziano, in </w:t>
      </w:r>
      <w:r w:rsidR="00E12FC9">
        <w:rPr>
          <w:rFonts w:ascii="DecimaWE Rg" w:hAnsi="DecimaWE Rg"/>
        </w:rPr>
        <w:t>coerenza</w:t>
      </w:r>
      <w:r w:rsidRPr="007E1463">
        <w:rPr>
          <w:rFonts w:ascii="DecimaWE Rg" w:hAnsi="DecimaWE Rg"/>
        </w:rPr>
        <w:t xml:space="preserve"> con quanto </w:t>
      </w:r>
      <w:r w:rsidR="007E1463">
        <w:rPr>
          <w:rFonts w:ascii="DecimaWE Rg" w:hAnsi="DecimaWE Rg"/>
        </w:rPr>
        <w:t>emerso</w:t>
      </w:r>
      <w:r w:rsidRPr="007E1463">
        <w:rPr>
          <w:rFonts w:ascii="DecimaWE Rg" w:hAnsi="DecimaWE Rg"/>
        </w:rPr>
        <w:t xml:space="preserve"> rispetto alle finalità generali delle progettualità, la prevalenza di punteggi che orientano la presa in carico d</w:t>
      </w:r>
      <w:r w:rsidR="00E12FC9">
        <w:rPr>
          <w:rFonts w:ascii="DecimaWE Rg" w:hAnsi="DecimaWE Rg"/>
        </w:rPr>
        <w:t>ell’utente in area integrata (53%) e in area sociale (42</w:t>
      </w:r>
      <w:r w:rsidRPr="007E1463">
        <w:rPr>
          <w:rFonts w:ascii="DecimaWE Rg" w:hAnsi="DecimaWE Rg"/>
        </w:rPr>
        <w:t>%), mentre le persone con esiti che permettono di orientare la progettazione in area pretta</w:t>
      </w:r>
      <w:r w:rsidR="00E12FC9">
        <w:rPr>
          <w:rFonts w:ascii="DecimaWE Rg" w:hAnsi="DecimaWE Rg"/>
        </w:rPr>
        <w:t>mente lavoristica sono solo il 5</w:t>
      </w:r>
      <w:r w:rsidRPr="007E1463">
        <w:rPr>
          <w:rFonts w:ascii="DecimaWE Rg" w:hAnsi="DecimaWE Rg"/>
        </w:rPr>
        <w:t xml:space="preserve">% del totale dei soggetti su cui è stato sperimentato lo strumento. </w:t>
      </w:r>
    </w:p>
    <w:p w:rsidR="005A0221" w:rsidRPr="00D41169" w:rsidRDefault="0094643A" w:rsidP="0094643A">
      <w:pPr>
        <w:pStyle w:val="Titolo1"/>
        <w:jc w:val="center"/>
        <w:rPr>
          <w:rFonts w:ascii="DecimaWE Rg" w:hAnsi="DecimaWE Rg"/>
          <w:color w:val="000000" w:themeColor="text1"/>
          <w:sz w:val="22"/>
          <w:szCs w:val="22"/>
        </w:rPr>
      </w:pPr>
      <w:bookmarkStart w:id="6" w:name="_Toc9600350"/>
      <w:r w:rsidRPr="00D41169">
        <w:rPr>
          <w:rFonts w:ascii="DecimaWE Rg" w:hAnsi="DecimaWE Rg"/>
          <w:color w:val="000000" w:themeColor="text1"/>
          <w:sz w:val="22"/>
          <w:szCs w:val="22"/>
        </w:rPr>
        <w:lastRenderedPageBreak/>
        <w:t>ALLEGATO</w:t>
      </w:r>
      <w:bookmarkEnd w:id="6"/>
    </w:p>
    <w:p w:rsidR="005A0221" w:rsidRDefault="005A0221" w:rsidP="00EE6D08">
      <w:pPr>
        <w:spacing w:after="0"/>
        <w:jc w:val="center"/>
        <w:rPr>
          <w:rFonts w:ascii="DecimaWE Rg" w:hAnsi="DecimaWE Rg"/>
          <w:b/>
          <w:sz w:val="24"/>
        </w:rPr>
      </w:pPr>
      <w:r w:rsidRPr="00D41169">
        <w:rPr>
          <w:rFonts w:ascii="DecimaWE Rg" w:hAnsi="DecimaWE Rg"/>
          <w:b/>
          <w:sz w:val="24"/>
        </w:rPr>
        <w:t>APPENDICE STATISTICA</w:t>
      </w:r>
    </w:p>
    <w:p w:rsidR="00EE6D08" w:rsidRPr="00EE6D08" w:rsidRDefault="00EE6D08" w:rsidP="00EE6D08">
      <w:pPr>
        <w:spacing w:after="0"/>
        <w:jc w:val="center"/>
        <w:rPr>
          <w:rFonts w:ascii="DecimaWE Rg" w:hAnsi="DecimaWE Rg"/>
          <w:b/>
          <w:sz w:val="24"/>
        </w:rPr>
      </w:pPr>
    </w:p>
    <w:p w:rsidR="005A0221" w:rsidRDefault="005A0221" w:rsidP="00BC4D8A">
      <w:pPr>
        <w:spacing w:after="0" w:line="240" w:lineRule="auto"/>
        <w:jc w:val="both"/>
        <w:rPr>
          <w:rFonts w:ascii="DecimaWE Rg" w:hAnsi="DecimaWE Rg"/>
          <w:i/>
          <w:sz w:val="20"/>
          <w:szCs w:val="20"/>
        </w:rPr>
      </w:pPr>
      <w:proofErr w:type="spellStart"/>
      <w:r w:rsidRPr="000D3A28">
        <w:rPr>
          <w:rFonts w:ascii="DecimaWE Rg" w:hAnsi="DecimaWE Rg"/>
          <w:i/>
          <w:sz w:val="20"/>
          <w:szCs w:val="20"/>
        </w:rPr>
        <w:t>Tab</w:t>
      </w:r>
      <w:proofErr w:type="spellEnd"/>
      <w:r w:rsidRPr="000D3A28">
        <w:rPr>
          <w:rFonts w:ascii="DecimaWE Rg" w:hAnsi="DecimaWE Rg"/>
          <w:i/>
          <w:sz w:val="20"/>
          <w:szCs w:val="20"/>
        </w:rPr>
        <w:t>. 1</w:t>
      </w:r>
      <w:r w:rsidR="00076ACF" w:rsidRPr="000D3A28">
        <w:rPr>
          <w:rFonts w:ascii="DecimaWE Rg" w:hAnsi="DecimaWE Rg"/>
          <w:i/>
          <w:sz w:val="20"/>
          <w:szCs w:val="20"/>
        </w:rPr>
        <w:t xml:space="preserve"> – Distribuzione per Ambito territoriale di SSC</w:t>
      </w:r>
      <w:r w:rsidRPr="000D3A28">
        <w:rPr>
          <w:rFonts w:ascii="DecimaWE Rg" w:hAnsi="DecimaWE Rg"/>
          <w:i/>
          <w:sz w:val="20"/>
          <w:szCs w:val="20"/>
        </w:rPr>
        <w:t xml:space="preserve"> delle domande reg</w:t>
      </w:r>
      <w:r w:rsidR="00076ACF" w:rsidRPr="000D3A28">
        <w:rPr>
          <w:rFonts w:ascii="DecimaWE Rg" w:hAnsi="DecimaWE Rg"/>
          <w:i/>
          <w:sz w:val="20"/>
          <w:szCs w:val="20"/>
        </w:rPr>
        <w:t>istrate a sistema da gennaio a ottobre 2018</w:t>
      </w:r>
      <w:r w:rsidRPr="000D3A28">
        <w:rPr>
          <w:rFonts w:ascii="DecimaWE Rg" w:hAnsi="DecimaWE Rg"/>
          <w:i/>
          <w:sz w:val="20"/>
          <w:szCs w:val="20"/>
        </w:rPr>
        <w:t xml:space="preserve"> per tipologia</w:t>
      </w:r>
      <w:r>
        <w:rPr>
          <w:rFonts w:ascii="DecimaWE Rg" w:hAnsi="DecimaWE Rg"/>
          <w:i/>
          <w:sz w:val="20"/>
          <w:szCs w:val="20"/>
        </w:rPr>
        <w:t xml:space="preserve"> di</w:t>
      </w:r>
      <w:r w:rsidR="00BC4D8A">
        <w:rPr>
          <w:rFonts w:ascii="DecimaWE Rg" w:hAnsi="DecimaWE Rg"/>
          <w:i/>
          <w:sz w:val="20"/>
          <w:szCs w:val="20"/>
        </w:rPr>
        <w:t xml:space="preserve"> domanda: MIA</w:t>
      </w:r>
      <w:r w:rsidR="00076ACF">
        <w:rPr>
          <w:rFonts w:ascii="DecimaWE Rg" w:hAnsi="DecimaWE Rg"/>
          <w:i/>
          <w:sz w:val="20"/>
          <w:szCs w:val="20"/>
        </w:rPr>
        <w:t xml:space="preserve"> e </w:t>
      </w:r>
      <w:r w:rsidR="00EC2880">
        <w:rPr>
          <w:rFonts w:ascii="DecimaWE Rg" w:hAnsi="DecimaWE Rg"/>
          <w:i/>
          <w:sz w:val="20"/>
          <w:szCs w:val="20"/>
        </w:rPr>
        <w:t>REI</w:t>
      </w:r>
      <w:r w:rsidR="00076ACF">
        <w:rPr>
          <w:rFonts w:ascii="DecimaWE Rg" w:hAnsi="DecimaWE Rg"/>
          <w:i/>
          <w:sz w:val="20"/>
          <w:szCs w:val="20"/>
        </w:rPr>
        <w:t xml:space="preserve"> FVG</w:t>
      </w:r>
      <w:r>
        <w:rPr>
          <w:rFonts w:ascii="DecimaWE Rg" w:hAnsi="DecimaWE Rg"/>
          <w:i/>
          <w:sz w:val="20"/>
          <w:szCs w:val="20"/>
        </w:rPr>
        <w:t xml:space="preserve">. Totale domande e relativa incidenza ogni 10.000 residenti. </w:t>
      </w:r>
    </w:p>
    <w:p w:rsidR="00BC4D8A" w:rsidRDefault="00BC4D8A" w:rsidP="00BC4D8A">
      <w:pPr>
        <w:spacing w:after="0" w:line="240" w:lineRule="auto"/>
        <w:jc w:val="both"/>
        <w:rPr>
          <w:rFonts w:ascii="DecimaWE Rg" w:hAnsi="DecimaWE Rg"/>
          <w:i/>
          <w:sz w:val="20"/>
          <w:szCs w:val="20"/>
        </w:rPr>
      </w:pPr>
      <w:r w:rsidRPr="00BC4D8A">
        <w:rPr>
          <w:noProof/>
          <w:lang w:eastAsia="it-IT"/>
        </w:rPr>
        <w:drawing>
          <wp:inline distT="0" distB="0" distL="0" distR="0">
            <wp:extent cx="5629275" cy="3363595"/>
            <wp:effectExtent l="0" t="0" r="9525" b="8255"/>
            <wp:docPr id="4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ACF" w:rsidRDefault="00076ACF" w:rsidP="00076ACF">
      <w:pPr>
        <w:spacing w:after="0" w:line="240" w:lineRule="auto"/>
        <w:jc w:val="both"/>
        <w:rPr>
          <w:rFonts w:ascii="DecimaWE Rg" w:hAnsi="DecimaWE Rg"/>
          <w:i/>
          <w:sz w:val="16"/>
          <w:szCs w:val="16"/>
        </w:rPr>
      </w:pPr>
      <w:r>
        <w:rPr>
          <w:rFonts w:ascii="DecimaWE Rg" w:hAnsi="DecimaWE Rg"/>
          <w:i/>
          <w:sz w:val="16"/>
          <w:szCs w:val="16"/>
        </w:rPr>
        <w:t xml:space="preserve">Fonte: </w:t>
      </w:r>
      <w:r w:rsidRPr="001871A9">
        <w:rPr>
          <w:rFonts w:ascii="DecimaWE Rg" w:hAnsi="DecimaWE Rg"/>
          <w:i/>
          <w:sz w:val="16"/>
          <w:szCs w:val="16"/>
        </w:rPr>
        <w:t>Fonte: SIMI</w:t>
      </w:r>
      <w:r>
        <w:rPr>
          <w:rFonts w:ascii="DecimaWE Rg" w:hAnsi="DecimaWE Rg"/>
          <w:i/>
          <w:sz w:val="16"/>
          <w:szCs w:val="16"/>
        </w:rPr>
        <w:t>A –domande dal 01/01/2018 al 22/10/2018 estrazione dati al 03/05/2019.</w:t>
      </w:r>
    </w:p>
    <w:p w:rsidR="00BC4D8A" w:rsidRDefault="00076ACF" w:rsidP="00076ACF">
      <w:pPr>
        <w:spacing w:after="0" w:line="240" w:lineRule="auto"/>
        <w:jc w:val="both"/>
        <w:rPr>
          <w:rFonts w:ascii="DecimaWE Rg" w:hAnsi="DecimaWE Rg"/>
          <w:i/>
          <w:sz w:val="16"/>
          <w:szCs w:val="16"/>
        </w:rPr>
      </w:pPr>
      <w:r>
        <w:rPr>
          <w:rFonts w:ascii="DecimaWE Rg" w:hAnsi="DecimaWE Rg"/>
          <w:i/>
          <w:sz w:val="16"/>
          <w:szCs w:val="16"/>
        </w:rPr>
        <w:t>NOTE: C</w:t>
      </w:r>
      <w:r w:rsidRPr="00DD7623">
        <w:rPr>
          <w:rFonts w:ascii="DecimaWE Rg" w:hAnsi="DecimaWE Rg"/>
          <w:i/>
          <w:sz w:val="16"/>
          <w:szCs w:val="16"/>
        </w:rPr>
        <w:t>iascuna domanda o nucleo beneficiario vengono rileva</w:t>
      </w:r>
      <w:r>
        <w:rPr>
          <w:rFonts w:ascii="DecimaWE Rg" w:hAnsi="DecimaWE Rg"/>
          <w:i/>
          <w:sz w:val="16"/>
          <w:szCs w:val="16"/>
        </w:rPr>
        <w:t xml:space="preserve">ti con riferimento al territorio dell’Ambito territoriale del SSC (di cui alla DGR 2513 del 28/12/2018) </w:t>
      </w:r>
      <w:r w:rsidRPr="00DD7623">
        <w:rPr>
          <w:rFonts w:ascii="DecimaWE Rg" w:hAnsi="DecimaWE Rg"/>
          <w:i/>
          <w:sz w:val="16"/>
          <w:szCs w:val="16"/>
        </w:rPr>
        <w:t>cui risultano associati alla data di estrazione da sistema.</w:t>
      </w:r>
      <w:r w:rsidRPr="00234EB9">
        <w:rPr>
          <w:rFonts w:ascii="DecimaWE Rg" w:hAnsi="DecimaWE Rg"/>
          <w:i/>
          <w:sz w:val="16"/>
          <w:szCs w:val="16"/>
        </w:rPr>
        <w:t xml:space="preserve"> </w:t>
      </w:r>
    </w:p>
    <w:p w:rsidR="00076ACF" w:rsidRDefault="00BC4D8A" w:rsidP="00076ACF">
      <w:pPr>
        <w:spacing w:after="0" w:line="240" w:lineRule="auto"/>
        <w:jc w:val="both"/>
        <w:rPr>
          <w:rFonts w:ascii="DecimaWE Rg" w:hAnsi="DecimaWE Rg"/>
          <w:i/>
          <w:sz w:val="16"/>
          <w:szCs w:val="16"/>
        </w:rPr>
      </w:pPr>
      <w:r>
        <w:rPr>
          <w:rFonts w:ascii="DecimaWE Rg" w:hAnsi="DecimaWE Rg"/>
          <w:i/>
          <w:sz w:val="16"/>
          <w:szCs w:val="16"/>
        </w:rPr>
        <w:t>Possibile più di una domanda per nucleo.</w:t>
      </w:r>
    </w:p>
    <w:p w:rsidR="005A0221" w:rsidRDefault="005A0221" w:rsidP="005A0221">
      <w:pPr>
        <w:spacing w:line="240" w:lineRule="auto"/>
        <w:jc w:val="both"/>
        <w:rPr>
          <w:rFonts w:ascii="DecimaWE Rg" w:hAnsi="DecimaWE Rg"/>
          <w:i/>
          <w:sz w:val="20"/>
          <w:szCs w:val="20"/>
        </w:rPr>
      </w:pPr>
    </w:p>
    <w:p w:rsidR="005A0221" w:rsidRDefault="005A0221" w:rsidP="00BC4D8A">
      <w:pPr>
        <w:spacing w:after="0" w:line="240" w:lineRule="auto"/>
        <w:jc w:val="both"/>
        <w:rPr>
          <w:rFonts w:ascii="DecimaWE Rg" w:hAnsi="DecimaWE Rg"/>
          <w:i/>
          <w:sz w:val="20"/>
          <w:szCs w:val="20"/>
        </w:rPr>
      </w:pPr>
      <w:proofErr w:type="spellStart"/>
      <w:r w:rsidRPr="000D3A28">
        <w:rPr>
          <w:rFonts w:ascii="DecimaWE Rg" w:hAnsi="DecimaWE Rg"/>
          <w:i/>
          <w:sz w:val="20"/>
          <w:szCs w:val="20"/>
        </w:rPr>
        <w:t>Tab</w:t>
      </w:r>
      <w:proofErr w:type="spellEnd"/>
      <w:r w:rsidRPr="000D3A28">
        <w:rPr>
          <w:rFonts w:ascii="DecimaWE Rg" w:hAnsi="DecimaWE Rg"/>
          <w:i/>
          <w:sz w:val="20"/>
          <w:szCs w:val="20"/>
        </w:rPr>
        <w:t xml:space="preserve">. 2 – </w:t>
      </w:r>
      <w:r w:rsidR="00BC4D8A" w:rsidRPr="000D3A28">
        <w:rPr>
          <w:rFonts w:ascii="DecimaWE Rg" w:hAnsi="DecimaWE Rg"/>
          <w:i/>
          <w:sz w:val="20"/>
          <w:szCs w:val="20"/>
        </w:rPr>
        <w:t xml:space="preserve">Distribuzione per Ambito territoriale di SSC </w:t>
      </w:r>
      <w:r w:rsidRPr="000D3A28">
        <w:rPr>
          <w:rFonts w:ascii="DecimaWE Rg" w:hAnsi="DecimaWE Rg"/>
          <w:i/>
          <w:sz w:val="20"/>
          <w:szCs w:val="20"/>
        </w:rPr>
        <w:t>dei nuclei familiari beneficiari di MIA (con d</w:t>
      </w:r>
      <w:r w:rsidR="00BC4D8A" w:rsidRPr="000D3A28">
        <w:rPr>
          <w:rFonts w:ascii="DecimaWE Rg" w:hAnsi="DecimaWE Rg"/>
          <w:i/>
          <w:sz w:val="20"/>
          <w:szCs w:val="20"/>
        </w:rPr>
        <w:t>omande presentate dal</w:t>
      </w:r>
      <w:r w:rsidR="00BC4D8A">
        <w:rPr>
          <w:rFonts w:ascii="DecimaWE Rg" w:hAnsi="DecimaWE Rg"/>
          <w:i/>
          <w:sz w:val="20"/>
          <w:szCs w:val="20"/>
        </w:rPr>
        <w:t xml:space="preserve"> 01/01/2018 al 22/10/2018</w:t>
      </w:r>
      <w:r>
        <w:rPr>
          <w:rFonts w:ascii="DecimaWE Rg" w:hAnsi="DecimaWE Rg"/>
          <w:i/>
          <w:sz w:val="20"/>
          <w:szCs w:val="20"/>
        </w:rPr>
        <w:t xml:space="preserve"> e con almeno un’ero</w:t>
      </w:r>
      <w:r w:rsidR="00BC4D8A">
        <w:rPr>
          <w:rFonts w:ascii="DecimaWE Rg" w:hAnsi="DecimaWE Rg"/>
          <w:i/>
          <w:sz w:val="20"/>
          <w:szCs w:val="20"/>
        </w:rPr>
        <w:t>gazione monetaria ricevuta al 03/05/2019</w:t>
      </w:r>
      <w:r>
        <w:rPr>
          <w:rFonts w:ascii="DecimaWE Rg" w:hAnsi="DecimaWE Rg"/>
          <w:i/>
          <w:sz w:val="20"/>
          <w:szCs w:val="20"/>
        </w:rPr>
        <w:t>);</w:t>
      </w:r>
      <w:r w:rsidRPr="002F79F2">
        <w:rPr>
          <w:rFonts w:ascii="DecimaWE Rg" w:hAnsi="DecimaWE Rg"/>
          <w:i/>
          <w:sz w:val="20"/>
          <w:szCs w:val="20"/>
        </w:rPr>
        <w:t xml:space="preserve"> </w:t>
      </w:r>
      <w:r>
        <w:rPr>
          <w:rFonts w:ascii="DecimaWE Rg" w:hAnsi="DecimaWE Rg"/>
          <w:i/>
          <w:sz w:val="20"/>
          <w:szCs w:val="20"/>
        </w:rPr>
        <w:t>numero di famig</w:t>
      </w:r>
      <w:r w:rsidR="00BC4D8A">
        <w:rPr>
          <w:rFonts w:ascii="DecimaWE Rg" w:hAnsi="DecimaWE Rg"/>
          <w:i/>
          <w:sz w:val="20"/>
          <w:szCs w:val="20"/>
        </w:rPr>
        <w:t>lie da Bilancio demografico 2017</w:t>
      </w:r>
      <w:r>
        <w:rPr>
          <w:rFonts w:ascii="DecimaWE Rg" w:hAnsi="DecimaWE Rg"/>
          <w:i/>
          <w:sz w:val="20"/>
          <w:szCs w:val="20"/>
        </w:rPr>
        <w:t xml:space="preserve"> e incidenza nuclei beneficiari ogni 100 famiglie; numero totale dei componenti</w:t>
      </w:r>
      <w:r w:rsidR="00105671">
        <w:rPr>
          <w:rFonts w:ascii="DecimaWE Rg" w:hAnsi="DecimaWE Rg"/>
          <w:i/>
          <w:sz w:val="20"/>
          <w:szCs w:val="20"/>
        </w:rPr>
        <w:t>;</w:t>
      </w:r>
      <w:r>
        <w:rPr>
          <w:rFonts w:ascii="DecimaWE Rg" w:hAnsi="DecimaWE Rg"/>
          <w:i/>
          <w:sz w:val="20"/>
          <w:szCs w:val="20"/>
        </w:rPr>
        <w:t xml:space="preserve"> popolazione residente e</w:t>
      </w:r>
      <w:r w:rsidRPr="002F79F2">
        <w:rPr>
          <w:rFonts w:ascii="DecimaWE Rg" w:hAnsi="DecimaWE Rg"/>
          <w:i/>
          <w:sz w:val="20"/>
          <w:szCs w:val="20"/>
        </w:rPr>
        <w:t xml:space="preserve"> incidenza dei componenti </w:t>
      </w:r>
      <w:r w:rsidR="00E94D78">
        <w:rPr>
          <w:rFonts w:ascii="DecimaWE Rg" w:hAnsi="DecimaWE Rg"/>
          <w:i/>
          <w:sz w:val="20"/>
          <w:szCs w:val="20"/>
        </w:rPr>
        <w:t>de</w:t>
      </w:r>
      <w:r w:rsidRPr="002F79F2">
        <w:rPr>
          <w:rFonts w:ascii="DecimaWE Rg" w:hAnsi="DecimaWE Rg"/>
          <w:i/>
          <w:sz w:val="20"/>
          <w:szCs w:val="20"/>
        </w:rPr>
        <w:t>i nuclei beneficiari ogni 100 residenti.</w:t>
      </w:r>
    </w:p>
    <w:p w:rsidR="00BC4D8A" w:rsidRDefault="00BC4D8A" w:rsidP="005A0221">
      <w:pPr>
        <w:spacing w:line="240" w:lineRule="auto"/>
        <w:jc w:val="both"/>
        <w:rPr>
          <w:rFonts w:ascii="DecimaWE Rg" w:hAnsi="DecimaWE Rg"/>
          <w:i/>
          <w:sz w:val="20"/>
          <w:szCs w:val="20"/>
        </w:rPr>
      </w:pPr>
      <w:r w:rsidRPr="00BC4D8A">
        <w:rPr>
          <w:noProof/>
          <w:lang w:eastAsia="it-IT"/>
        </w:rPr>
        <w:drawing>
          <wp:inline distT="0" distB="0" distL="0" distR="0" wp14:anchorId="4706E0E8" wp14:editId="6DEEF7D3">
            <wp:extent cx="6120130" cy="3157985"/>
            <wp:effectExtent l="0" t="0" r="0" b="4445"/>
            <wp:docPr id="49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D8A" w:rsidRDefault="00BC4D8A" w:rsidP="00BC4D8A">
      <w:pPr>
        <w:spacing w:after="0" w:line="240" w:lineRule="auto"/>
        <w:jc w:val="both"/>
        <w:rPr>
          <w:rFonts w:ascii="DecimaWE Rg" w:hAnsi="DecimaWE Rg"/>
          <w:i/>
          <w:sz w:val="16"/>
          <w:szCs w:val="16"/>
        </w:rPr>
      </w:pPr>
      <w:r>
        <w:rPr>
          <w:rFonts w:ascii="DecimaWE Rg" w:hAnsi="DecimaWE Rg"/>
          <w:i/>
          <w:sz w:val="16"/>
          <w:szCs w:val="16"/>
        </w:rPr>
        <w:lastRenderedPageBreak/>
        <w:t xml:space="preserve">Fonte: </w:t>
      </w:r>
      <w:r w:rsidRPr="001871A9">
        <w:rPr>
          <w:rFonts w:ascii="DecimaWE Rg" w:hAnsi="DecimaWE Rg"/>
          <w:i/>
          <w:sz w:val="16"/>
          <w:szCs w:val="16"/>
        </w:rPr>
        <w:t>Fonte: SIMI</w:t>
      </w:r>
      <w:r>
        <w:rPr>
          <w:rFonts w:ascii="DecimaWE Rg" w:hAnsi="DecimaWE Rg"/>
          <w:i/>
          <w:sz w:val="16"/>
          <w:szCs w:val="16"/>
        </w:rPr>
        <w:t>A –domande dal 01/01/2018 al 22/10/2018 estrazione dati al 03/05/2019.</w:t>
      </w:r>
    </w:p>
    <w:p w:rsidR="005A0221" w:rsidRPr="00197CF2" w:rsidRDefault="001871A9" w:rsidP="005A0221">
      <w:pPr>
        <w:spacing w:after="0" w:line="240" w:lineRule="auto"/>
        <w:jc w:val="both"/>
        <w:rPr>
          <w:rFonts w:ascii="DecimaWE Rg" w:hAnsi="DecimaWE Rg"/>
          <w:i/>
          <w:sz w:val="16"/>
          <w:szCs w:val="16"/>
        </w:rPr>
      </w:pPr>
      <w:r>
        <w:rPr>
          <w:rFonts w:ascii="DecimaWE Rg" w:hAnsi="DecimaWE Rg"/>
          <w:i/>
          <w:sz w:val="16"/>
          <w:szCs w:val="16"/>
        </w:rPr>
        <w:t>NOTE: C</w:t>
      </w:r>
      <w:r w:rsidR="005A0221" w:rsidRPr="00DD7623">
        <w:rPr>
          <w:rFonts w:ascii="DecimaWE Rg" w:hAnsi="DecimaWE Rg"/>
          <w:i/>
          <w:sz w:val="16"/>
          <w:szCs w:val="16"/>
        </w:rPr>
        <w:t>iascuna domanda o nucleo beneficiario vengono rileva</w:t>
      </w:r>
      <w:r>
        <w:rPr>
          <w:rFonts w:ascii="DecimaWE Rg" w:hAnsi="DecimaWE Rg"/>
          <w:i/>
          <w:sz w:val="16"/>
          <w:szCs w:val="16"/>
        </w:rPr>
        <w:t xml:space="preserve">ti con riferimento al territorio dell’Ambito territoriale del SSC (di cui alla DGR 2513 del 28/12/2018) </w:t>
      </w:r>
      <w:r w:rsidR="005A0221" w:rsidRPr="00DD7623">
        <w:rPr>
          <w:rFonts w:ascii="DecimaWE Rg" w:hAnsi="DecimaWE Rg"/>
          <w:i/>
          <w:sz w:val="16"/>
          <w:szCs w:val="16"/>
        </w:rPr>
        <w:t>cui risultano associati alla data di estrazione da sistema.</w:t>
      </w:r>
      <w:r w:rsidR="005A0221" w:rsidRPr="00234EB9">
        <w:rPr>
          <w:rFonts w:ascii="DecimaWE Rg" w:hAnsi="DecimaWE Rg"/>
          <w:i/>
          <w:sz w:val="16"/>
          <w:szCs w:val="16"/>
        </w:rPr>
        <w:t xml:space="preserve"> </w:t>
      </w:r>
    </w:p>
    <w:p w:rsidR="005A0221" w:rsidRDefault="005A0221" w:rsidP="005A0221">
      <w:pPr>
        <w:spacing w:after="0"/>
        <w:jc w:val="both"/>
        <w:rPr>
          <w:rFonts w:ascii="DecimaWE Rg" w:hAnsi="DecimaWE Rg"/>
          <w:i/>
          <w:sz w:val="16"/>
          <w:szCs w:val="16"/>
        </w:rPr>
      </w:pPr>
      <w:r>
        <w:rPr>
          <w:rFonts w:ascii="DecimaWE Rg" w:hAnsi="DecimaWE Rg"/>
          <w:i/>
          <w:sz w:val="16"/>
          <w:szCs w:val="16"/>
        </w:rPr>
        <w:t xml:space="preserve">Per le famiglie e la popolazione residente: </w:t>
      </w:r>
      <w:proofErr w:type="spellStart"/>
      <w:r>
        <w:rPr>
          <w:rFonts w:ascii="DecimaWE Rg" w:hAnsi="DecimaWE Rg"/>
          <w:i/>
          <w:sz w:val="16"/>
          <w:szCs w:val="16"/>
        </w:rPr>
        <w:t>Demoistat</w:t>
      </w:r>
      <w:proofErr w:type="spellEnd"/>
      <w:r>
        <w:rPr>
          <w:rFonts w:ascii="DecimaWE Rg" w:hAnsi="DecimaWE Rg"/>
          <w:i/>
          <w:sz w:val="16"/>
          <w:szCs w:val="16"/>
        </w:rPr>
        <w:t>, Bilancio demografi</w:t>
      </w:r>
      <w:r w:rsidR="001871A9">
        <w:rPr>
          <w:rFonts w:ascii="DecimaWE Rg" w:hAnsi="DecimaWE Rg"/>
          <w:i/>
          <w:sz w:val="16"/>
          <w:szCs w:val="16"/>
        </w:rPr>
        <w:t>co 2017</w:t>
      </w:r>
      <w:r w:rsidRPr="00234EB9">
        <w:rPr>
          <w:rFonts w:ascii="DecimaWE Rg" w:hAnsi="DecimaWE Rg"/>
          <w:i/>
          <w:sz w:val="16"/>
          <w:szCs w:val="16"/>
        </w:rPr>
        <w:t xml:space="preserve"> popolazione residente al 01.01.201</w:t>
      </w:r>
      <w:r w:rsidR="001871A9">
        <w:rPr>
          <w:rFonts w:ascii="DecimaWE Rg" w:hAnsi="DecimaWE Rg"/>
          <w:i/>
          <w:sz w:val="16"/>
          <w:szCs w:val="16"/>
        </w:rPr>
        <w:t>8</w:t>
      </w:r>
      <w:r w:rsidRPr="00234EB9">
        <w:rPr>
          <w:rFonts w:ascii="DecimaWE Rg" w:hAnsi="DecimaWE Rg"/>
          <w:i/>
          <w:sz w:val="16"/>
          <w:szCs w:val="16"/>
        </w:rPr>
        <w:t>.</w:t>
      </w:r>
    </w:p>
    <w:p w:rsidR="00BC4D8A" w:rsidRDefault="00BC4D8A" w:rsidP="001871A9">
      <w:pPr>
        <w:spacing w:after="0" w:line="240" w:lineRule="auto"/>
        <w:jc w:val="both"/>
        <w:rPr>
          <w:rFonts w:ascii="DecimaWE Rg" w:hAnsi="DecimaWE Rg"/>
          <w:i/>
          <w:sz w:val="20"/>
          <w:szCs w:val="20"/>
        </w:rPr>
      </w:pPr>
    </w:p>
    <w:p w:rsidR="00105671" w:rsidRDefault="00105671" w:rsidP="001871A9">
      <w:pPr>
        <w:spacing w:after="0" w:line="240" w:lineRule="auto"/>
        <w:jc w:val="both"/>
        <w:rPr>
          <w:rFonts w:ascii="DecimaWE Rg" w:hAnsi="DecimaWE Rg"/>
          <w:i/>
          <w:sz w:val="20"/>
          <w:szCs w:val="20"/>
        </w:rPr>
      </w:pPr>
    </w:p>
    <w:p w:rsidR="005A0221" w:rsidRDefault="005A0221" w:rsidP="001871A9">
      <w:pPr>
        <w:spacing w:after="0" w:line="240" w:lineRule="auto"/>
        <w:jc w:val="both"/>
        <w:rPr>
          <w:rFonts w:ascii="DecimaWE Rg" w:hAnsi="DecimaWE Rg"/>
          <w:i/>
          <w:sz w:val="20"/>
          <w:szCs w:val="20"/>
        </w:rPr>
      </w:pPr>
      <w:proofErr w:type="spellStart"/>
      <w:r w:rsidRPr="0054129D">
        <w:rPr>
          <w:rFonts w:ascii="DecimaWE Rg" w:hAnsi="DecimaWE Rg"/>
          <w:i/>
          <w:sz w:val="20"/>
          <w:szCs w:val="20"/>
        </w:rPr>
        <w:t>Tab</w:t>
      </w:r>
      <w:proofErr w:type="spellEnd"/>
      <w:r w:rsidRPr="0054129D">
        <w:rPr>
          <w:rFonts w:ascii="DecimaWE Rg" w:hAnsi="DecimaWE Rg"/>
          <w:i/>
          <w:sz w:val="20"/>
          <w:szCs w:val="20"/>
        </w:rPr>
        <w:t>. 3</w:t>
      </w:r>
      <w:r w:rsidR="0054129D" w:rsidRPr="0054129D">
        <w:rPr>
          <w:rFonts w:ascii="DecimaWE Rg" w:hAnsi="DecimaWE Rg"/>
          <w:i/>
          <w:sz w:val="20"/>
          <w:szCs w:val="20"/>
        </w:rPr>
        <w:t xml:space="preserve"> – Distribuzione per Ambito territoriale del SSC</w:t>
      </w:r>
      <w:r w:rsidRPr="0054129D">
        <w:rPr>
          <w:rFonts w:ascii="DecimaWE Rg" w:hAnsi="DecimaWE Rg"/>
          <w:i/>
          <w:sz w:val="20"/>
          <w:szCs w:val="20"/>
        </w:rPr>
        <w:t xml:space="preserve"> dei nuclei familiari beneficiari </w:t>
      </w:r>
      <w:r w:rsidR="00E94D78" w:rsidRPr="0054129D">
        <w:rPr>
          <w:rFonts w:ascii="DecimaWE Rg" w:hAnsi="DecimaWE Rg"/>
          <w:i/>
          <w:sz w:val="20"/>
          <w:szCs w:val="20"/>
        </w:rPr>
        <w:t>di MIA e/o MIA+</w:t>
      </w:r>
      <w:r w:rsidRPr="0054129D">
        <w:rPr>
          <w:rFonts w:ascii="DecimaWE Rg" w:hAnsi="DecimaWE Rg"/>
          <w:i/>
          <w:sz w:val="20"/>
          <w:szCs w:val="20"/>
        </w:rPr>
        <w:t>SIA con domande presentate</w:t>
      </w:r>
      <w:r>
        <w:rPr>
          <w:rFonts w:ascii="DecimaWE Rg" w:hAnsi="DecimaWE Rg"/>
          <w:i/>
          <w:sz w:val="20"/>
          <w:szCs w:val="20"/>
        </w:rPr>
        <w:t xml:space="preserve"> dal 22.10.2015 al 31.12.2017 e incidenza nuclei beneficiari ogni 100 famiglie</w:t>
      </w:r>
      <w:r w:rsidR="00E94D78">
        <w:rPr>
          <w:rFonts w:ascii="DecimaWE Rg" w:hAnsi="DecimaWE Rg"/>
          <w:i/>
          <w:sz w:val="20"/>
          <w:szCs w:val="20"/>
        </w:rPr>
        <w:t>.</w:t>
      </w:r>
    </w:p>
    <w:p w:rsidR="00105671" w:rsidRDefault="00105671" w:rsidP="001871A9">
      <w:pPr>
        <w:spacing w:after="0" w:line="240" w:lineRule="auto"/>
        <w:jc w:val="both"/>
        <w:rPr>
          <w:rFonts w:ascii="DecimaWE Rg" w:hAnsi="DecimaWE Rg"/>
          <w:i/>
          <w:sz w:val="20"/>
          <w:szCs w:val="20"/>
        </w:rPr>
      </w:pPr>
      <w:r w:rsidRPr="00105671">
        <w:rPr>
          <w:noProof/>
          <w:lang w:eastAsia="it-IT"/>
        </w:rPr>
        <w:drawing>
          <wp:inline distT="0" distB="0" distL="0" distR="0">
            <wp:extent cx="5287645" cy="3379470"/>
            <wp:effectExtent l="0" t="0" r="8255" b="0"/>
            <wp:docPr id="50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33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29D" w:rsidRDefault="0054129D" w:rsidP="0054129D">
      <w:pPr>
        <w:spacing w:after="0" w:line="240" w:lineRule="auto"/>
        <w:jc w:val="both"/>
        <w:rPr>
          <w:rFonts w:ascii="DecimaWE Rg" w:hAnsi="DecimaWE Rg"/>
          <w:i/>
          <w:sz w:val="16"/>
          <w:szCs w:val="16"/>
        </w:rPr>
      </w:pPr>
      <w:r>
        <w:rPr>
          <w:rFonts w:ascii="DecimaWE Rg" w:hAnsi="DecimaWE Rg"/>
          <w:i/>
          <w:sz w:val="16"/>
          <w:szCs w:val="16"/>
        </w:rPr>
        <w:t xml:space="preserve">Fonte: </w:t>
      </w:r>
      <w:r w:rsidRPr="001871A9">
        <w:rPr>
          <w:rFonts w:ascii="DecimaWE Rg" w:hAnsi="DecimaWE Rg"/>
          <w:i/>
          <w:sz w:val="16"/>
          <w:szCs w:val="16"/>
        </w:rPr>
        <w:t>Fonte: SIMI</w:t>
      </w:r>
      <w:r>
        <w:rPr>
          <w:rFonts w:ascii="DecimaWE Rg" w:hAnsi="DecimaWE Rg"/>
          <w:i/>
          <w:sz w:val="16"/>
          <w:szCs w:val="16"/>
        </w:rPr>
        <w:t>A – domande dal 22/10/2015 al 31/12/2017 estrazione dati al 15/02/2019; domande dal 01/01/2018 al 22/10/2018 estrazione dati al 03/05/2019.</w:t>
      </w:r>
    </w:p>
    <w:p w:rsidR="0054129D" w:rsidRPr="00197CF2" w:rsidRDefault="0054129D" w:rsidP="0054129D">
      <w:pPr>
        <w:spacing w:after="0" w:line="240" w:lineRule="auto"/>
        <w:jc w:val="both"/>
        <w:rPr>
          <w:rFonts w:ascii="DecimaWE Rg" w:hAnsi="DecimaWE Rg"/>
          <w:i/>
          <w:sz w:val="16"/>
          <w:szCs w:val="16"/>
        </w:rPr>
      </w:pPr>
      <w:r>
        <w:rPr>
          <w:rFonts w:ascii="DecimaWE Rg" w:hAnsi="DecimaWE Rg"/>
          <w:i/>
          <w:sz w:val="16"/>
          <w:szCs w:val="16"/>
        </w:rPr>
        <w:t>NOTE: C</w:t>
      </w:r>
      <w:r w:rsidRPr="00DD7623">
        <w:rPr>
          <w:rFonts w:ascii="DecimaWE Rg" w:hAnsi="DecimaWE Rg"/>
          <w:i/>
          <w:sz w:val="16"/>
          <w:szCs w:val="16"/>
        </w:rPr>
        <w:t>iascuna domanda o nucleo beneficiario vengono rileva</w:t>
      </w:r>
      <w:r>
        <w:rPr>
          <w:rFonts w:ascii="DecimaWE Rg" w:hAnsi="DecimaWE Rg"/>
          <w:i/>
          <w:sz w:val="16"/>
          <w:szCs w:val="16"/>
        </w:rPr>
        <w:t xml:space="preserve">ti con riferimento al territorio dell’Ambito territoriale del SSC (di cui alla DGR 2513 del 28/12/2018) </w:t>
      </w:r>
      <w:r w:rsidRPr="00DD7623">
        <w:rPr>
          <w:rFonts w:ascii="DecimaWE Rg" w:hAnsi="DecimaWE Rg"/>
          <w:i/>
          <w:sz w:val="16"/>
          <w:szCs w:val="16"/>
        </w:rPr>
        <w:t>cui risultano associati alla data di estrazione da sistema.</w:t>
      </w:r>
      <w:r w:rsidRPr="00234EB9">
        <w:rPr>
          <w:rFonts w:ascii="DecimaWE Rg" w:hAnsi="DecimaWE Rg"/>
          <w:i/>
          <w:sz w:val="16"/>
          <w:szCs w:val="16"/>
        </w:rPr>
        <w:t xml:space="preserve"> </w:t>
      </w:r>
    </w:p>
    <w:p w:rsidR="0054129D" w:rsidRPr="00105671" w:rsidRDefault="0054129D" w:rsidP="0054129D">
      <w:pPr>
        <w:spacing w:after="0"/>
        <w:jc w:val="both"/>
        <w:rPr>
          <w:rFonts w:ascii="DecimaWE Rg" w:hAnsi="DecimaWE Rg"/>
          <w:i/>
          <w:sz w:val="18"/>
          <w:szCs w:val="18"/>
        </w:rPr>
      </w:pPr>
      <w:r w:rsidRPr="00105671">
        <w:rPr>
          <w:rFonts w:ascii="DecimaWE Rg" w:hAnsi="DecimaWE Rg"/>
          <w:i/>
          <w:sz w:val="18"/>
          <w:szCs w:val="18"/>
        </w:rPr>
        <w:t>*</w:t>
      </w:r>
      <w:proofErr w:type="spellStart"/>
      <w:r w:rsidRPr="00105671">
        <w:rPr>
          <w:rFonts w:ascii="DecimaWE Rg" w:hAnsi="DecimaWE Rg"/>
          <w:i/>
          <w:sz w:val="18"/>
          <w:szCs w:val="18"/>
        </w:rPr>
        <w:t>ll</w:t>
      </w:r>
      <w:proofErr w:type="spellEnd"/>
      <w:r w:rsidRPr="00105671">
        <w:rPr>
          <w:rFonts w:ascii="DecimaWE Rg" w:hAnsi="DecimaWE Rg"/>
          <w:i/>
          <w:sz w:val="18"/>
          <w:szCs w:val="18"/>
        </w:rPr>
        <w:t xml:space="preserve"> numero dei </w:t>
      </w:r>
      <w:r w:rsidRPr="00105671">
        <w:rPr>
          <w:rFonts w:ascii="DecimaWE Rg" w:hAnsi="DecimaWE Rg"/>
          <w:i/>
          <w:sz w:val="18"/>
          <w:szCs w:val="18"/>
          <w:u w:val="single"/>
        </w:rPr>
        <w:t>nuovi nuclei beneficiari relativi all’anno 2017</w:t>
      </w:r>
      <w:r w:rsidRPr="00105671">
        <w:rPr>
          <w:rFonts w:ascii="DecimaWE Rg" w:hAnsi="DecimaWE Rg"/>
          <w:i/>
          <w:sz w:val="18"/>
          <w:szCs w:val="18"/>
        </w:rPr>
        <w:t xml:space="preserve"> è stato aggiornato rispetto al precedente monitoraggio e risulta maggiore a quanto ivi riportato, in quanto era stato specificato che alla data di rilevazione risultavano ancora incompleti gli esiti di pagamento delle domande pervenute a fine anno; il totale nuclei beneficiari 2015-2017, non risulta pertanto pari a 18.890 bensì a 19.103.</w:t>
      </w:r>
    </w:p>
    <w:p w:rsidR="00105671" w:rsidRDefault="00105671" w:rsidP="005A0221">
      <w:pPr>
        <w:spacing w:line="240" w:lineRule="auto"/>
        <w:jc w:val="both"/>
        <w:rPr>
          <w:rFonts w:ascii="DecimaWE Rg" w:hAnsi="DecimaWE Rg"/>
          <w:i/>
          <w:sz w:val="18"/>
          <w:szCs w:val="18"/>
        </w:rPr>
      </w:pPr>
    </w:p>
    <w:p w:rsidR="00105671" w:rsidRDefault="00105671" w:rsidP="005A0221">
      <w:pPr>
        <w:spacing w:line="240" w:lineRule="auto"/>
        <w:jc w:val="both"/>
        <w:rPr>
          <w:rFonts w:ascii="DecimaWE Rg" w:hAnsi="DecimaWE Rg"/>
          <w:i/>
          <w:sz w:val="18"/>
          <w:szCs w:val="18"/>
        </w:rPr>
      </w:pPr>
    </w:p>
    <w:p w:rsidR="00105671" w:rsidRDefault="00105671" w:rsidP="005A0221">
      <w:pPr>
        <w:spacing w:line="240" w:lineRule="auto"/>
        <w:jc w:val="both"/>
        <w:rPr>
          <w:rFonts w:ascii="DecimaWE Rg" w:hAnsi="DecimaWE Rg"/>
          <w:i/>
          <w:sz w:val="18"/>
          <w:szCs w:val="18"/>
        </w:rPr>
      </w:pPr>
    </w:p>
    <w:p w:rsidR="00220B28" w:rsidRDefault="005A0221" w:rsidP="00220B28">
      <w:pPr>
        <w:spacing w:after="0"/>
        <w:jc w:val="both"/>
        <w:rPr>
          <w:noProof/>
          <w:lang w:eastAsia="it-IT"/>
        </w:rPr>
      </w:pPr>
      <w:proofErr w:type="spellStart"/>
      <w:r>
        <w:rPr>
          <w:rFonts w:ascii="DecimaWE Rg" w:hAnsi="DecimaWE Rg"/>
          <w:i/>
          <w:sz w:val="20"/>
          <w:szCs w:val="20"/>
        </w:rPr>
        <w:t>Tab</w:t>
      </w:r>
      <w:proofErr w:type="spellEnd"/>
      <w:r>
        <w:rPr>
          <w:rFonts w:ascii="DecimaWE Rg" w:hAnsi="DecimaWE Rg"/>
          <w:i/>
          <w:sz w:val="20"/>
          <w:szCs w:val="20"/>
        </w:rPr>
        <w:t xml:space="preserve">. 4 - </w:t>
      </w:r>
      <w:r w:rsidRPr="002F79F2">
        <w:rPr>
          <w:rFonts w:ascii="DecimaWE Rg" w:hAnsi="DecimaWE Rg"/>
          <w:i/>
          <w:sz w:val="20"/>
          <w:szCs w:val="20"/>
        </w:rPr>
        <w:t xml:space="preserve">Distribuzione </w:t>
      </w:r>
      <w:r>
        <w:rPr>
          <w:rFonts w:ascii="DecimaWE Rg" w:hAnsi="DecimaWE Rg"/>
          <w:i/>
          <w:sz w:val="20"/>
          <w:szCs w:val="20"/>
        </w:rPr>
        <w:t>dei nuclei beneficiari per composizione del nucleo familiare, valori assoluti e percentuali.</w:t>
      </w:r>
      <w:r w:rsidR="00220B28" w:rsidRPr="001B51CE">
        <w:rPr>
          <w:noProof/>
          <w:lang w:eastAsia="it-IT"/>
        </w:rPr>
        <w:t xml:space="preserve"> </w:t>
      </w:r>
    </w:p>
    <w:p w:rsidR="00220B28" w:rsidRDefault="00534D68" w:rsidP="00220B28">
      <w:pPr>
        <w:spacing w:after="0"/>
        <w:jc w:val="both"/>
        <w:rPr>
          <w:noProof/>
          <w:lang w:eastAsia="it-IT"/>
        </w:rPr>
      </w:pPr>
      <w:r w:rsidRPr="00534D68">
        <w:rPr>
          <w:noProof/>
          <w:lang w:eastAsia="it-IT"/>
        </w:rPr>
        <w:drawing>
          <wp:inline distT="0" distB="0" distL="0" distR="0">
            <wp:extent cx="4029075" cy="107632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D68" w:rsidRPr="00534D68" w:rsidRDefault="00534D68" w:rsidP="00534D68">
      <w:pPr>
        <w:spacing w:after="0"/>
        <w:jc w:val="both"/>
        <w:rPr>
          <w:rFonts w:ascii="DecimaWE Rg" w:hAnsi="DecimaWE Rg"/>
          <w:i/>
          <w:sz w:val="16"/>
          <w:szCs w:val="16"/>
        </w:rPr>
      </w:pPr>
      <w:r w:rsidRPr="00534D68">
        <w:rPr>
          <w:rFonts w:ascii="DecimaWE Rg" w:hAnsi="DecimaWE Rg"/>
          <w:i/>
          <w:sz w:val="16"/>
          <w:szCs w:val="16"/>
        </w:rPr>
        <w:t>Fonte: SIMIA – domande registrate dal 01/01/2018 al 22/10/2018,</w:t>
      </w:r>
      <w:r w:rsidR="00853CB5">
        <w:rPr>
          <w:rFonts w:ascii="DecimaWE Rg" w:hAnsi="DecimaWE Rg"/>
          <w:i/>
          <w:sz w:val="16"/>
          <w:szCs w:val="16"/>
        </w:rPr>
        <w:t xml:space="preserve"> estrazione dati al 03/05/2019.</w:t>
      </w:r>
    </w:p>
    <w:p w:rsidR="00105671" w:rsidRDefault="00105671">
      <w:pPr>
        <w:spacing w:after="0" w:line="240" w:lineRule="auto"/>
        <w:rPr>
          <w:rFonts w:ascii="DecimaWE Rg" w:hAnsi="DecimaWE Rg"/>
          <w:i/>
          <w:sz w:val="20"/>
          <w:szCs w:val="20"/>
        </w:rPr>
      </w:pPr>
      <w:r>
        <w:rPr>
          <w:rFonts w:ascii="DecimaWE Rg" w:hAnsi="DecimaWE Rg"/>
          <w:i/>
          <w:sz w:val="20"/>
          <w:szCs w:val="20"/>
        </w:rPr>
        <w:br w:type="page"/>
      </w:r>
    </w:p>
    <w:p w:rsidR="005A0221" w:rsidRDefault="005A0221" w:rsidP="00220B28">
      <w:pPr>
        <w:spacing w:after="0" w:line="240" w:lineRule="auto"/>
        <w:jc w:val="both"/>
        <w:rPr>
          <w:rFonts w:ascii="DecimaWE Rg" w:hAnsi="DecimaWE Rg"/>
          <w:i/>
          <w:sz w:val="20"/>
          <w:szCs w:val="20"/>
        </w:rPr>
      </w:pPr>
      <w:proofErr w:type="spellStart"/>
      <w:r>
        <w:rPr>
          <w:rFonts w:ascii="DecimaWE Rg" w:hAnsi="DecimaWE Rg"/>
          <w:i/>
          <w:sz w:val="20"/>
          <w:szCs w:val="20"/>
        </w:rPr>
        <w:lastRenderedPageBreak/>
        <w:t>Tab</w:t>
      </w:r>
      <w:proofErr w:type="spellEnd"/>
      <w:r>
        <w:rPr>
          <w:rFonts w:ascii="DecimaWE Rg" w:hAnsi="DecimaWE Rg"/>
          <w:i/>
          <w:sz w:val="20"/>
          <w:szCs w:val="20"/>
        </w:rPr>
        <w:t>. 5</w:t>
      </w:r>
      <w:r w:rsidRPr="002F79F2">
        <w:rPr>
          <w:rFonts w:ascii="DecimaWE Rg" w:hAnsi="DecimaWE Rg"/>
          <w:i/>
          <w:sz w:val="20"/>
          <w:szCs w:val="20"/>
        </w:rPr>
        <w:t xml:space="preserve"> – Distribuzione </w:t>
      </w:r>
      <w:r>
        <w:rPr>
          <w:rFonts w:ascii="DecimaWE Rg" w:hAnsi="DecimaWE Rg"/>
          <w:i/>
          <w:sz w:val="20"/>
          <w:szCs w:val="20"/>
        </w:rPr>
        <w:t>dei nuclei beneficiari per numero di figli presenti all’interno del nucleo familiare, valori assoluti e percentuali.</w:t>
      </w:r>
    </w:p>
    <w:p w:rsidR="00220B28" w:rsidRDefault="00534D68" w:rsidP="00220B28">
      <w:pPr>
        <w:spacing w:after="0" w:line="240" w:lineRule="auto"/>
        <w:jc w:val="both"/>
        <w:rPr>
          <w:rFonts w:ascii="DecimaWE Rg" w:hAnsi="DecimaWE Rg"/>
          <w:i/>
          <w:sz w:val="20"/>
          <w:szCs w:val="20"/>
        </w:rPr>
      </w:pPr>
      <w:r w:rsidRPr="00534D68">
        <w:rPr>
          <w:noProof/>
          <w:lang w:eastAsia="it-IT"/>
        </w:rPr>
        <w:drawing>
          <wp:inline distT="0" distB="0" distL="0" distR="0">
            <wp:extent cx="4029075" cy="1419225"/>
            <wp:effectExtent l="0" t="0" r="9525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D68" w:rsidRPr="00534D68" w:rsidRDefault="00534D68" w:rsidP="00534D68">
      <w:pPr>
        <w:spacing w:after="0"/>
        <w:jc w:val="both"/>
        <w:rPr>
          <w:rFonts w:ascii="DecimaWE Rg" w:hAnsi="DecimaWE Rg"/>
          <w:i/>
          <w:sz w:val="16"/>
          <w:szCs w:val="16"/>
        </w:rPr>
      </w:pPr>
      <w:r w:rsidRPr="00534D68">
        <w:rPr>
          <w:rFonts w:ascii="DecimaWE Rg" w:hAnsi="DecimaWE Rg"/>
          <w:i/>
          <w:sz w:val="16"/>
          <w:szCs w:val="16"/>
        </w:rPr>
        <w:t>Fonte: SIMIA – domande registrate dal 01/01/2018 al 22/10/2018,</w:t>
      </w:r>
      <w:r w:rsidR="00853CB5">
        <w:rPr>
          <w:rFonts w:ascii="DecimaWE Rg" w:hAnsi="DecimaWE Rg"/>
          <w:i/>
          <w:sz w:val="16"/>
          <w:szCs w:val="16"/>
        </w:rPr>
        <w:t xml:space="preserve"> estrazione dati al 03/05/2019.</w:t>
      </w:r>
    </w:p>
    <w:p w:rsidR="00220B28" w:rsidRDefault="00220B28" w:rsidP="005A0221">
      <w:pPr>
        <w:spacing w:line="240" w:lineRule="auto"/>
        <w:jc w:val="both"/>
        <w:rPr>
          <w:rFonts w:ascii="DecimaWE Rg" w:hAnsi="DecimaWE Rg"/>
          <w:i/>
          <w:sz w:val="20"/>
          <w:szCs w:val="20"/>
        </w:rPr>
      </w:pPr>
    </w:p>
    <w:p w:rsidR="005A0221" w:rsidRDefault="005A0221" w:rsidP="00220B28">
      <w:pPr>
        <w:spacing w:after="0" w:line="240" w:lineRule="auto"/>
        <w:jc w:val="both"/>
        <w:rPr>
          <w:rFonts w:ascii="DecimaWE Rg" w:hAnsi="DecimaWE Rg"/>
          <w:i/>
          <w:sz w:val="20"/>
          <w:szCs w:val="20"/>
        </w:rPr>
      </w:pPr>
      <w:proofErr w:type="spellStart"/>
      <w:r w:rsidRPr="00F47226">
        <w:rPr>
          <w:rFonts w:ascii="DecimaWE Rg" w:hAnsi="DecimaWE Rg"/>
          <w:i/>
          <w:sz w:val="20"/>
          <w:szCs w:val="20"/>
        </w:rPr>
        <w:t>Tab</w:t>
      </w:r>
      <w:proofErr w:type="spellEnd"/>
      <w:r w:rsidRPr="00F47226">
        <w:rPr>
          <w:rFonts w:ascii="DecimaWE Rg" w:hAnsi="DecimaWE Rg"/>
          <w:i/>
          <w:sz w:val="20"/>
          <w:szCs w:val="20"/>
        </w:rPr>
        <w:t xml:space="preserve">. </w:t>
      </w:r>
      <w:r>
        <w:rPr>
          <w:rFonts w:ascii="DecimaWE Rg" w:hAnsi="DecimaWE Rg"/>
          <w:i/>
          <w:sz w:val="20"/>
          <w:szCs w:val="20"/>
        </w:rPr>
        <w:t>6</w:t>
      </w:r>
      <w:r w:rsidRPr="00F47226">
        <w:rPr>
          <w:rFonts w:ascii="DecimaWE Rg" w:hAnsi="DecimaWE Rg"/>
          <w:i/>
          <w:sz w:val="20"/>
          <w:szCs w:val="20"/>
        </w:rPr>
        <w:t xml:space="preserve"> – Distribuzione dei </w:t>
      </w:r>
      <w:r>
        <w:rPr>
          <w:rFonts w:ascii="DecimaWE Rg" w:hAnsi="DecimaWE Rg"/>
          <w:i/>
          <w:sz w:val="20"/>
          <w:szCs w:val="20"/>
        </w:rPr>
        <w:t xml:space="preserve">nuclei </w:t>
      </w:r>
      <w:r w:rsidRPr="00F47226">
        <w:rPr>
          <w:rFonts w:ascii="DecimaWE Rg" w:hAnsi="DecimaWE Rg"/>
          <w:i/>
          <w:sz w:val="20"/>
          <w:szCs w:val="20"/>
        </w:rPr>
        <w:t>beneficiari per fasce ISEE alla data di presentazione della domanda, valori assoluti e percentuali.</w:t>
      </w:r>
    </w:p>
    <w:p w:rsidR="00220B28" w:rsidRDefault="00534D68" w:rsidP="00220B28">
      <w:pPr>
        <w:spacing w:after="0" w:line="240" w:lineRule="auto"/>
        <w:jc w:val="both"/>
        <w:rPr>
          <w:rFonts w:ascii="DecimaWE Rg" w:hAnsi="DecimaWE Rg"/>
          <w:i/>
          <w:sz w:val="20"/>
          <w:szCs w:val="20"/>
        </w:rPr>
      </w:pPr>
      <w:r w:rsidRPr="00534D68">
        <w:rPr>
          <w:noProof/>
          <w:lang w:eastAsia="it-IT"/>
        </w:rPr>
        <w:drawing>
          <wp:inline distT="0" distB="0" distL="0" distR="0">
            <wp:extent cx="4029075" cy="1247775"/>
            <wp:effectExtent l="0" t="0" r="9525" b="9525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D68" w:rsidRPr="00534D68" w:rsidRDefault="00534D68" w:rsidP="00534D68">
      <w:pPr>
        <w:spacing w:after="0"/>
        <w:jc w:val="both"/>
        <w:rPr>
          <w:rFonts w:ascii="DecimaWE Rg" w:hAnsi="DecimaWE Rg"/>
          <w:i/>
          <w:sz w:val="16"/>
          <w:szCs w:val="16"/>
        </w:rPr>
      </w:pPr>
      <w:r w:rsidRPr="00534D68">
        <w:rPr>
          <w:rFonts w:ascii="DecimaWE Rg" w:hAnsi="DecimaWE Rg"/>
          <w:i/>
          <w:sz w:val="16"/>
          <w:szCs w:val="16"/>
        </w:rPr>
        <w:t>Fonte: SIMIA – domande registrate dal 01/01/2018 al 22/10/2018, estrazio</w:t>
      </w:r>
      <w:r w:rsidR="00853CB5">
        <w:rPr>
          <w:rFonts w:ascii="DecimaWE Rg" w:hAnsi="DecimaWE Rg"/>
          <w:i/>
          <w:sz w:val="16"/>
          <w:szCs w:val="16"/>
        </w:rPr>
        <w:t>ne dati al 03/05/2019.</w:t>
      </w:r>
    </w:p>
    <w:p w:rsidR="00105671" w:rsidRDefault="00105671" w:rsidP="00105671">
      <w:pPr>
        <w:spacing w:line="240" w:lineRule="auto"/>
        <w:jc w:val="both"/>
        <w:rPr>
          <w:rFonts w:ascii="DecimaWE Rg" w:hAnsi="DecimaWE Rg"/>
          <w:i/>
          <w:sz w:val="20"/>
          <w:szCs w:val="20"/>
        </w:rPr>
      </w:pPr>
    </w:p>
    <w:p w:rsidR="005A0221" w:rsidRDefault="005A0221" w:rsidP="00220B28">
      <w:pPr>
        <w:spacing w:after="0" w:line="240" w:lineRule="auto"/>
        <w:jc w:val="both"/>
        <w:rPr>
          <w:rFonts w:ascii="DecimaWE Rg" w:hAnsi="DecimaWE Rg"/>
          <w:i/>
          <w:sz w:val="20"/>
          <w:szCs w:val="20"/>
        </w:rPr>
      </w:pPr>
      <w:proofErr w:type="spellStart"/>
      <w:r>
        <w:rPr>
          <w:rFonts w:ascii="DecimaWE Rg" w:hAnsi="DecimaWE Rg"/>
          <w:i/>
          <w:sz w:val="20"/>
          <w:szCs w:val="20"/>
        </w:rPr>
        <w:t>Tab</w:t>
      </w:r>
      <w:proofErr w:type="spellEnd"/>
      <w:r>
        <w:rPr>
          <w:rFonts w:ascii="DecimaWE Rg" w:hAnsi="DecimaWE Rg"/>
          <w:i/>
          <w:sz w:val="20"/>
          <w:szCs w:val="20"/>
        </w:rPr>
        <w:t>. 7</w:t>
      </w:r>
      <w:r w:rsidRPr="002F79F2">
        <w:rPr>
          <w:rFonts w:ascii="DecimaWE Rg" w:hAnsi="DecimaWE Rg"/>
          <w:i/>
          <w:sz w:val="20"/>
          <w:szCs w:val="20"/>
        </w:rPr>
        <w:t xml:space="preserve"> – Distribuzione </w:t>
      </w:r>
      <w:r>
        <w:rPr>
          <w:rFonts w:ascii="DecimaWE Rg" w:hAnsi="DecimaWE Rg"/>
          <w:i/>
          <w:sz w:val="20"/>
          <w:szCs w:val="20"/>
        </w:rPr>
        <w:t>dei nuclei beneficiari per cittadinanza dei componenti, valori assoluti e percentuali.</w:t>
      </w:r>
    </w:p>
    <w:p w:rsidR="00220B28" w:rsidRDefault="009A404C" w:rsidP="00220B28">
      <w:pPr>
        <w:spacing w:after="0" w:line="240" w:lineRule="auto"/>
        <w:jc w:val="both"/>
        <w:rPr>
          <w:rFonts w:ascii="DecimaWE Rg" w:hAnsi="DecimaWE Rg"/>
          <w:i/>
          <w:sz w:val="20"/>
          <w:szCs w:val="20"/>
        </w:rPr>
      </w:pPr>
      <w:r w:rsidRPr="009A404C">
        <w:rPr>
          <w:noProof/>
          <w:lang w:eastAsia="it-IT"/>
        </w:rPr>
        <w:drawing>
          <wp:inline distT="0" distB="0" distL="0" distR="0">
            <wp:extent cx="4029075" cy="771525"/>
            <wp:effectExtent l="0" t="0" r="9525" b="9525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D68" w:rsidRPr="00534D68" w:rsidRDefault="00534D68" w:rsidP="00534D68">
      <w:pPr>
        <w:spacing w:after="0"/>
        <w:jc w:val="both"/>
        <w:rPr>
          <w:rFonts w:ascii="DecimaWE Rg" w:hAnsi="DecimaWE Rg"/>
          <w:i/>
          <w:sz w:val="16"/>
          <w:szCs w:val="16"/>
        </w:rPr>
      </w:pPr>
      <w:r w:rsidRPr="00534D68">
        <w:rPr>
          <w:rFonts w:ascii="DecimaWE Rg" w:hAnsi="DecimaWE Rg"/>
          <w:i/>
          <w:sz w:val="16"/>
          <w:szCs w:val="16"/>
        </w:rPr>
        <w:t>Fonte: SIMIA – domande registrate dal 01/01/2018 al 22/10/2018,</w:t>
      </w:r>
      <w:r w:rsidR="00853CB5">
        <w:rPr>
          <w:rFonts w:ascii="DecimaWE Rg" w:hAnsi="DecimaWE Rg"/>
          <w:i/>
          <w:sz w:val="16"/>
          <w:szCs w:val="16"/>
        </w:rPr>
        <w:t xml:space="preserve"> estrazione dati al 03/05/2019.</w:t>
      </w:r>
    </w:p>
    <w:p w:rsidR="00105671" w:rsidRDefault="00105671" w:rsidP="00105671">
      <w:pPr>
        <w:spacing w:line="240" w:lineRule="auto"/>
        <w:jc w:val="both"/>
        <w:rPr>
          <w:rFonts w:ascii="DecimaWE Rg" w:hAnsi="DecimaWE Rg"/>
          <w:i/>
          <w:sz w:val="20"/>
          <w:szCs w:val="20"/>
        </w:rPr>
      </w:pPr>
    </w:p>
    <w:p w:rsidR="005A0221" w:rsidRDefault="005A0221" w:rsidP="00220B28">
      <w:pPr>
        <w:spacing w:after="0" w:line="240" w:lineRule="auto"/>
        <w:jc w:val="both"/>
        <w:rPr>
          <w:rFonts w:ascii="DecimaWE Rg" w:hAnsi="DecimaWE Rg"/>
          <w:i/>
          <w:sz w:val="20"/>
          <w:szCs w:val="20"/>
        </w:rPr>
      </w:pPr>
      <w:proofErr w:type="spellStart"/>
      <w:r>
        <w:rPr>
          <w:rFonts w:ascii="DecimaWE Rg" w:hAnsi="DecimaWE Rg"/>
          <w:i/>
          <w:sz w:val="20"/>
          <w:szCs w:val="20"/>
        </w:rPr>
        <w:t>Tab</w:t>
      </w:r>
      <w:proofErr w:type="spellEnd"/>
      <w:r>
        <w:rPr>
          <w:rFonts w:ascii="DecimaWE Rg" w:hAnsi="DecimaWE Rg"/>
          <w:i/>
          <w:sz w:val="20"/>
          <w:szCs w:val="20"/>
        </w:rPr>
        <w:t>. 8</w:t>
      </w:r>
      <w:r w:rsidRPr="002F79F2">
        <w:rPr>
          <w:rFonts w:ascii="DecimaWE Rg" w:hAnsi="DecimaWE Rg"/>
          <w:i/>
          <w:sz w:val="20"/>
          <w:szCs w:val="20"/>
        </w:rPr>
        <w:t xml:space="preserve"> – Distribuzione </w:t>
      </w:r>
      <w:r>
        <w:rPr>
          <w:rFonts w:ascii="DecimaWE Rg" w:hAnsi="DecimaWE Rg"/>
          <w:i/>
          <w:sz w:val="20"/>
          <w:szCs w:val="20"/>
        </w:rPr>
        <w:t>di tutti i componenti dei nuclei beneficiari per cittadinanza, valori assoluti e percentuali.</w:t>
      </w:r>
    </w:p>
    <w:p w:rsidR="00220B28" w:rsidRDefault="009A404C" w:rsidP="00220B28">
      <w:pPr>
        <w:spacing w:after="0" w:line="240" w:lineRule="auto"/>
        <w:jc w:val="both"/>
        <w:rPr>
          <w:rFonts w:ascii="DecimaWE Rg" w:hAnsi="DecimaWE Rg"/>
          <w:i/>
          <w:sz w:val="20"/>
          <w:szCs w:val="20"/>
        </w:rPr>
      </w:pPr>
      <w:r w:rsidRPr="009A404C">
        <w:rPr>
          <w:noProof/>
          <w:lang w:eastAsia="it-IT"/>
        </w:rPr>
        <w:drawing>
          <wp:inline distT="0" distB="0" distL="0" distR="0">
            <wp:extent cx="4029075" cy="619125"/>
            <wp:effectExtent l="0" t="0" r="9525" b="952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D68" w:rsidRPr="00534D68" w:rsidRDefault="00534D68" w:rsidP="00534D68">
      <w:pPr>
        <w:spacing w:after="0"/>
        <w:jc w:val="both"/>
        <w:rPr>
          <w:rFonts w:ascii="DecimaWE Rg" w:hAnsi="DecimaWE Rg"/>
          <w:i/>
          <w:sz w:val="16"/>
          <w:szCs w:val="16"/>
        </w:rPr>
      </w:pPr>
      <w:r w:rsidRPr="00534D68">
        <w:rPr>
          <w:rFonts w:ascii="DecimaWE Rg" w:hAnsi="DecimaWE Rg"/>
          <w:i/>
          <w:sz w:val="16"/>
          <w:szCs w:val="16"/>
        </w:rPr>
        <w:t>Fonte: SIMIA – domande registrate dal 01/01/2018 al 22/10/2018,</w:t>
      </w:r>
      <w:r w:rsidR="00853CB5">
        <w:rPr>
          <w:rFonts w:ascii="DecimaWE Rg" w:hAnsi="DecimaWE Rg"/>
          <w:i/>
          <w:sz w:val="16"/>
          <w:szCs w:val="16"/>
        </w:rPr>
        <w:t xml:space="preserve"> estrazione dati al 03/05/2019.</w:t>
      </w:r>
    </w:p>
    <w:p w:rsidR="00105671" w:rsidRDefault="00105671" w:rsidP="00105671">
      <w:pPr>
        <w:spacing w:line="240" w:lineRule="auto"/>
        <w:jc w:val="both"/>
        <w:rPr>
          <w:rFonts w:ascii="DecimaWE Rg" w:hAnsi="DecimaWE Rg"/>
          <w:i/>
          <w:sz w:val="20"/>
          <w:szCs w:val="20"/>
        </w:rPr>
      </w:pPr>
    </w:p>
    <w:p w:rsidR="005A0221" w:rsidRDefault="005A0221" w:rsidP="009A404C">
      <w:pPr>
        <w:spacing w:after="0" w:line="240" w:lineRule="auto"/>
        <w:jc w:val="both"/>
        <w:rPr>
          <w:rFonts w:ascii="DecimaWE Rg" w:hAnsi="DecimaWE Rg"/>
          <w:i/>
          <w:sz w:val="20"/>
          <w:szCs w:val="20"/>
        </w:rPr>
      </w:pPr>
      <w:proofErr w:type="spellStart"/>
      <w:r>
        <w:rPr>
          <w:rFonts w:ascii="DecimaWE Rg" w:hAnsi="DecimaWE Rg"/>
          <w:i/>
          <w:sz w:val="20"/>
          <w:szCs w:val="20"/>
        </w:rPr>
        <w:t>Tab</w:t>
      </w:r>
      <w:proofErr w:type="spellEnd"/>
      <w:r>
        <w:rPr>
          <w:rFonts w:ascii="DecimaWE Rg" w:hAnsi="DecimaWE Rg"/>
          <w:i/>
          <w:sz w:val="20"/>
          <w:szCs w:val="20"/>
        </w:rPr>
        <w:t>. 9</w:t>
      </w:r>
      <w:r w:rsidRPr="002F79F2">
        <w:rPr>
          <w:rFonts w:ascii="DecimaWE Rg" w:hAnsi="DecimaWE Rg"/>
          <w:i/>
          <w:sz w:val="20"/>
          <w:szCs w:val="20"/>
        </w:rPr>
        <w:t xml:space="preserve"> – Distribuzione </w:t>
      </w:r>
      <w:r>
        <w:rPr>
          <w:rFonts w:ascii="DecimaWE Rg" w:hAnsi="DecimaWE Rg"/>
          <w:i/>
          <w:sz w:val="20"/>
          <w:szCs w:val="20"/>
        </w:rPr>
        <w:t>di tutti i componenti dei nuclei beneficiari per</w:t>
      </w:r>
      <w:r w:rsidR="009A404C">
        <w:rPr>
          <w:rFonts w:ascii="DecimaWE Rg" w:hAnsi="DecimaWE Rg"/>
          <w:i/>
          <w:sz w:val="20"/>
          <w:szCs w:val="20"/>
        </w:rPr>
        <w:t xml:space="preserve"> cittadinanza e</w:t>
      </w:r>
      <w:r>
        <w:rPr>
          <w:rFonts w:ascii="DecimaWE Rg" w:hAnsi="DecimaWE Rg"/>
          <w:i/>
          <w:sz w:val="20"/>
          <w:szCs w:val="20"/>
        </w:rPr>
        <w:t xml:space="preserve"> paese di nascita, valori assoluti e percentuali.</w:t>
      </w:r>
    </w:p>
    <w:p w:rsidR="005A0221" w:rsidRDefault="009A404C" w:rsidP="005A0221">
      <w:pPr>
        <w:spacing w:after="0" w:line="240" w:lineRule="auto"/>
        <w:jc w:val="both"/>
        <w:rPr>
          <w:rFonts w:ascii="DecimaWE Rg" w:hAnsi="DecimaWE Rg"/>
          <w:i/>
          <w:sz w:val="20"/>
          <w:szCs w:val="20"/>
        </w:rPr>
      </w:pPr>
      <w:r w:rsidRPr="009A404C">
        <w:rPr>
          <w:noProof/>
          <w:lang w:eastAsia="it-IT"/>
        </w:rPr>
        <w:drawing>
          <wp:inline distT="0" distB="0" distL="0" distR="0">
            <wp:extent cx="4029075" cy="1685925"/>
            <wp:effectExtent l="0" t="0" r="9525" b="952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D68" w:rsidRPr="00534D68" w:rsidRDefault="00534D68" w:rsidP="00534D68">
      <w:pPr>
        <w:spacing w:after="0"/>
        <w:jc w:val="both"/>
        <w:rPr>
          <w:rFonts w:ascii="DecimaWE Rg" w:hAnsi="DecimaWE Rg"/>
          <w:i/>
          <w:sz w:val="16"/>
          <w:szCs w:val="16"/>
        </w:rPr>
      </w:pPr>
      <w:r w:rsidRPr="00534D68">
        <w:rPr>
          <w:rFonts w:ascii="DecimaWE Rg" w:hAnsi="DecimaWE Rg"/>
          <w:i/>
          <w:sz w:val="16"/>
          <w:szCs w:val="16"/>
        </w:rPr>
        <w:t>Fonte: SIMIA – domande registrate dal 01/01/2018 al 22/10/2018,</w:t>
      </w:r>
      <w:r w:rsidR="00853CB5">
        <w:rPr>
          <w:rFonts w:ascii="DecimaWE Rg" w:hAnsi="DecimaWE Rg"/>
          <w:i/>
          <w:sz w:val="16"/>
          <w:szCs w:val="16"/>
        </w:rPr>
        <w:t xml:space="preserve"> estrazione dati al 03/05/2019.</w:t>
      </w:r>
    </w:p>
    <w:p w:rsidR="00105671" w:rsidRDefault="00105671" w:rsidP="00105671">
      <w:pPr>
        <w:spacing w:line="240" w:lineRule="auto"/>
        <w:jc w:val="both"/>
        <w:rPr>
          <w:rFonts w:ascii="DecimaWE Rg" w:hAnsi="DecimaWE Rg"/>
          <w:i/>
          <w:sz w:val="20"/>
          <w:szCs w:val="20"/>
        </w:rPr>
      </w:pPr>
    </w:p>
    <w:p w:rsidR="005A0221" w:rsidRDefault="005A0221" w:rsidP="009A404C">
      <w:pPr>
        <w:spacing w:after="0" w:line="240" w:lineRule="auto"/>
        <w:jc w:val="both"/>
        <w:rPr>
          <w:rFonts w:ascii="DecimaWE Rg" w:hAnsi="DecimaWE Rg"/>
          <w:i/>
          <w:sz w:val="20"/>
          <w:szCs w:val="20"/>
        </w:rPr>
      </w:pPr>
      <w:proofErr w:type="spellStart"/>
      <w:r>
        <w:rPr>
          <w:rFonts w:ascii="DecimaWE Rg" w:hAnsi="DecimaWE Rg"/>
          <w:i/>
          <w:sz w:val="20"/>
          <w:szCs w:val="20"/>
        </w:rPr>
        <w:lastRenderedPageBreak/>
        <w:t>Tab</w:t>
      </w:r>
      <w:proofErr w:type="spellEnd"/>
      <w:r>
        <w:rPr>
          <w:rFonts w:ascii="DecimaWE Rg" w:hAnsi="DecimaWE Rg"/>
          <w:i/>
          <w:sz w:val="20"/>
          <w:szCs w:val="20"/>
        </w:rPr>
        <w:t>. 10</w:t>
      </w:r>
      <w:r w:rsidRPr="002F79F2">
        <w:rPr>
          <w:rFonts w:ascii="DecimaWE Rg" w:hAnsi="DecimaWE Rg"/>
          <w:i/>
          <w:sz w:val="20"/>
          <w:szCs w:val="20"/>
        </w:rPr>
        <w:t xml:space="preserve"> – Distribuzione </w:t>
      </w:r>
      <w:r>
        <w:rPr>
          <w:rFonts w:ascii="DecimaWE Rg" w:hAnsi="DecimaWE Rg"/>
          <w:i/>
          <w:sz w:val="20"/>
          <w:szCs w:val="20"/>
        </w:rPr>
        <w:t>di tutti i componenti dei nuclei beneficiari per condizione professionale</w:t>
      </w:r>
      <w:r>
        <w:rPr>
          <w:rStyle w:val="Rimandonotaapidipagina"/>
          <w:rFonts w:ascii="DecimaWE Rg" w:hAnsi="DecimaWE Rg"/>
          <w:i/>
        </w:rPr>
        <w:footnoteReference w:id="19"/>
      </w:r>
      <w:r>
        <w:rPr>
          <w:rFonts w:ascii="DecimaWE Rg" w:hAnsi="DecimaWE Rg"/>
          <w:i/>
          <w:sz w:val="20"/>
          <w:szCs w:val="20"/>
        </w:rPr>
        <w:t>, valori assoluti e percentuali.</w:t>
      </w:r>
    </w:p>
    <w:p w:rsidR="005A0221" w:rsidRDefault="009A404C" w:rsidP="005A0221">
      <w:pPr>
        <w:spacing w:after="0" w:line="240" w:lineRule="auto"/>
        <w:jc w:val="both"/>
        <w:rPr>
          <w:rFonts w:ascii="DecimaWE Rg" w:hAnsi="DecimaWE Rg"/>
          <w:i/>
          <w:sz w:val="20"/>
          <w:szCs w:val="20"/>
        </w:rPr>
      </w:pPr>
      <w:r w:rsidRPr="009A404C">
        <w:rPr>
          <w:noProof/>
          <w:lang w:eastAsia="it-IT"/>
        </w:rPr>
        <w:drawing>
          <wp:inline distT="0" distB="0" distL="0" distR="0">
            <wp:extent cx="4029075" cy="1228725"/>
            <wp:effectExtent l="0" t="0" r="9525" b="9525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D68" w:rsidRPr="00534D68" w:rsidRDefault="00534D68" w:rsidP="00534D68">
      <w:pPr>
        <w:spacing w:after="0"/>
        <w:jc w:val="both"/>
        <w:rPr>
          <w:rFonts w:ascii="DecimaWE Rg" w:hAnsi="DecimaWE Rg"/>
          <w:i/>
          <w:sz w:val="16"/>
          <w:szCs w:val="16"/>
        </w:rPr>
      </w:pPr>
      <w:r w:rsidRPr="00534D68">
        <w:rPr>
          <w:rFonts w:ascii="DecimaWE Rg" w:hAnsi="DecimaWE Rg"/>
          <w:i/>
          <w:sz w:val="16"/>
          <w:szCs w:val="16"/>
        </w:rPr>
        <w:t>Fonte: SIMIA – domande registrate dal 01/01/2018 al 22/10/2018,</w:t>
      </w:r>
      <w:r w:rsidR="00853CB5">
        <w:rPr>
          <w:rFonts w:ascii="DecimaWE Rg" w:hAnsi="DecimaWE Rg"/>
          <w:i/>
          <w:sz w:val="16"/>
          <w:szCs w:val="16"/>
        </w:rPr>
        <w:t xml:space="preserve"> estrazione dati al 03/05/2019.</w:t>
      </w:r>
    </w:p>
    <w:p w:rsidR="00105671" w:rsidRDefault="00105671" w:rsidP="00105671">
      <w:pPr>
        <w:spacing w:line="240" w:lineRule="auto"/>
        <w:jc w:val="both"/>
        <w:rPr>
          <w:rFonts w:ascii="DecimaWE Rg" w:hAnsi="DecimaWE Rg"/>
          <w:i/>
          <w:sz w:val="20"/>
          <w:szCs w:val="20"/>
        </w:rPr>
      </w:pPr>
    </w:p>
    <w:p w:rsidR="005A0221" w:rsidRDefault="005A0221" w:rsidP="009A404C">
      <w:pPr>
        <w:spacing w:after="0" w:line="240" w:lineRule="auto"/>
        <w:jc w:val="both"/>
        <w:rPr>
          <w:rFonts w:ascii="DecimaWE Rg" w:hAnsi="DecimaWE Rg"/>
          <w:i/>
          <w:sz w:val="20"/>
          <w:szCs w:val="20"/>
        </w:rPr>
      </w:pPr>
      <w:proofErr w:type="spellStart"/>
      <w:r>
        <w:rPr>
          <w:rFonts w:ascii="DecimaWE Rg" w:hAnsi="DecimaWE Rg"/>
          <w:i/>
          <w:sz w:val="20"/>
          <w:szCs w:val="20"/>
        </w:rPr>
        <w:t>Tab</w:t>
      </w:r>
      <w:proofErr w:type="spellEnd"/>
      <w:r>
        <w:rPr>
          <w:rFonts w:ascii="DecimaWE Rg" w:hAnsi="DecimaWE Rg"/>
          <w:i/>
          <w:sz w:val="20"/>
          <w:szCs w:val="20"/>
        </w:rPr>
        <w:t>. 11</w:t>
      </w:r>
      <w:r w:rsidRPr="002F79F2">
        <w:rPr>
          <w:rFonts w:ascii="DecimaWE Rg" w:hAnsi="DecimaWE Rg"/>
          <w:i/>
          <w:sz w:val="20"/>
          <w:szCs w:val="20"/>
        </w:rPr>
        <w:t xml:space="preserve"> – Distribuzione </w:t>
      </w:r>
      <w:r>
        <w:rPr>
          <w:rFonts w:ascii="DecimaWE Rg" w:hAnsi="DecimaWE Rg"/>
          <w:i/>
          <w:sz w:val="20"/>
          <w:szCs w:val="20"/>
        </w:rPr>
        <w:t>dei soli componenti in età da lavoro (15-64 anni) per condizione professionale, valori assoluti e percentuali.</w:t>
      </w:r>
    </w:p>
    <w:p w:rsidR="00B24D88" w:rsidRDefault="00B24D88" w:rsidP="009A404C">
      <w:pPr>
        <w:spacing w:after="0" w:line="240" w:lineRule="auto"/>
        <w:jc w:val="both"/>
        <w:rPr>
          <w:rFonts w:ascii="DecimaWE Rg" w:hAnsi="DecimaWE Rg"/>
          <w:i/>
          <w:sz w:val="20"/>
          <w:szCs w:val="20"/>
        </w:rPr>
      </w:pPr>
      <w:r w:rsidRPr="00B24D88">
        <w:rPr>
          <w:noProof/>
          <w:lang w:eastAsia="it-IT"/>
        </w:rPr>
        <w:drawing>
          <wp:inline distT="0" distB="0" distL="0" distR="0">
            <wp:extent cx="4030675" cy="2543413"/>
            <wp:effectExtent l="0" t="0" r="825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885" cy="254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71" w:rsidRDefault="00534D68" w:rsidP="00853CB5">
      <w:pPr>
        <w:spacing w:after="0" w:line="240" w:lineRule="auto"/>
        <w:jc w:val="both"/>
        <w:rPr>
          <w:rFonts w:ascii="DecimaWE Rg" w:hAnsi="DecimaWE Rg"/>
          <w:i/>
          <w:sz w:val="16"/>
          <w:szCs w:val="16"/>
        </w:rPr>
      </w:pPr>
      <w:r w:rsidRPr="00534D68">
        <w:rPr>
          <w:rFonts w:ascii="DecimaWE Rg" w:hAnsi="DecimaWE Rg"/>
          <w:i/>
          <w:sz w:val="16"/>
          <w:szCs w:val="16"/>
        </w:rPr>
        <w:t>Fonte: SIMIA – domande registrate dal 01/01/2018 al 22/10/2018,</w:t>
      </w:r>
      <w:r w:rsidR="00853CB5">
        <w:rPr>
          <w:rFonts w:ascii="DecimaWE Rg" w:hAnsi="DecimaWE Rg"/>
          <w:i/>
          <w:sz w:val="16"/>
          <w:szCs w:val="16"/>
        </w:rPr>
        <w:t xml:space="preserve"> estrazione dati al 03/05/2019.</w:t>
      </w:r>
    </w:p>
    <w:p w:rsidR="00853CB5" w:rsidRDefault="00853CB5" w:rsidP="00853CB5">
      <w:pPr>
        <w:spacing w:after="0" w:line="240" w:lineRule="auto"/>
        <w:jc w:val="both"/>
        <w:rPr>
          <w:rFonts w:ascii="DecimaWE Rg" w:hAnsi="DecimaWE Rg"/>
          <w:i/>
          <w:sz w:val="16"/>
          <w:szCs w:val="16"/>
        </w:rPr>
      </w:pPr>
    </w:p>
    <w:p w:rsidR="00853CB5" w:rsidRPr="00853CB5" w:rsidRDefault="00853CB5" w:rsidP="00853CB5">
      <w:pPr>
        <w:spacing w:after="0" w:line="240" w:lineRule="auto"/>
        <w:jc w:val="both"/>
        <w:rPr>
          <w:rFonts w:ascii="DecimaWE Rg" w:hAnsi="DecimaWE Rg"/>
          <w:i/>
          <w:sz w:val="16"/>
          <w:szCs w:val="16"/>
        </w:rPr>
      </w:pPr>
    </w:p>
    <w:p w:rsidR="005A0221" w:rsidRDefault="005A0221" w:rsidP="009A404C">
      <w:pPr>
        <w:spacing w:after="0" w:line="240" w:lineRule="auto"/>
        <w:jc w:val="both"/>
        <w:rPr>
          <w:rFonts w:ascii="DecimaWE Rg" w:hAnsi="DecimaWE Rg"/>
          <w:i/>
          <w:sz w:val="20"/>
          <w:szCs w:val="20"/>
        </w:rPr>
      </w:pPr>
      <w:proofErr w:type="spellStart"/>
      <w:r>
        <w:rPr>
          <w:rFonts w:ascii="DecimaWE Rg" w:hAnsi="DecimaWE Rg"/>
          <w:i/>
          <w:sz w:val="20"/>
          <w:szCs w:val="20"/>
        </w:rPr>
        <w:t>Tab</w:t>
      </w:r>
      <w:proofErr w:type="spellEnd"/>
      <w:r>
        <w:rPr>
          <w:rFonts w:ascii="DecimaWE Rg" w:hAnsi="DecimaWE Rg"/>
          <w:i/>
          <w:sz w:val="20"/>
          <w:szCs w:val="20"/>
        </w:rPr>
        <w:t>. 12</w:t>
      </w:r>
      <w:r w:rsidRPr="005169A6">
        <w:rPr>
          <w:rFonts w:ascii="DecimaWE Rg" w:hAnsi="DecimaWE Rg"/>
          <w:i/>
          <w:sz w:val="20"/>
          <w:szCs w:val="20"/>
        </w:rPr>
        <w:t xml:space="preserve"> – Distribuzione di tutti i componenti </w:t>
      </w:r>
      <w:r>
        <w:rPr>
          <w:rFonts w:ascii="DecimaWE Rg" w:hAnsi="DecimaWE Rg"/>
          <w:i/>
          <w:sz w:val="20"/>
          <w:szCs w:val="20"/>
        </w:rPr>
        <w:t>de</w:t>
      </w:r>
      <w:r w:rsidRPr="005169A6">
        <w:rPr>
          <w:rFonts w:ascii="DecimaWE Rg" w:hAnsi="DecimaWE Rg"/>
          <w:i/>
          <w:sz w:val="20"/>
          <w:szCs w:val="20"/>
        </w:rPr>
        <w:t>i nuclei beneficiari per classe d’età, valori assoluti e percentuali.</w:t>
      </w:r>
    </w:p>
    <w:p w:rsidR="00B24D88" w:rsidRDefault="00B24D88" w:rsidP="009A404C">
      <w:pPr>
        <w:spacing w:after="0" w:line="240" w:lineRule="auto"/>
        <w:jc w:val="both"/>
        <w:rPr>
          <w:rFonts w:ascii="DecimaWE Rg" w:hAnsi="DecimaWE Rg"/>
          <w:i/>
          <w:sz w:val="20"/>
          <w:szCs w:val="20"/>
        </w:rPr>
      </w:pPr>
      <w:r w:rsidRPr="00B24D88">
        <w:rPr>
          <w:noProof/>
          <w:lang w:eastAsia="it-IT"/>
        </w:rPr>
        <w:drawing>
          <wp:inline distT="0" distB="0" distL="0" distR="0">
            <wp:extent cx="4038391" cy="2026310"/>
            <wp:effectExtent l="0" t="0" r="635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495" cy="202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D68" w:rsidRPr="00534D68" w:rsidRDefault="00534D68" w:rsidP="009A404C">
      <w:pPr>
        <w:spacing w:line="240" w:lineRule="auto"/>
        <w:jc w:val="both"/>
        <w:rPr>
          <w:rFonts w:ascii="DecimaWE Rg" w:hAnsi="DecimaWE Rg"/>
          <w:i/>
          <w:sz w:val="16"/>
          <w:szCs w:val="16"/>
        </w:rPr>
      </w:pPr>
      <w:r w:rsidRPr="00534D68">
        <w:rPr>
          <w:rFonts w:ascii="DecimaWE Rg" w:hAnsi="DecimaWE Rg"/>
          <w:i/>
          <w:sz w:val="16"/>
          <w:szCs w:val="16"/>
        </w:rPr>
        <w:t>Fonte: SIMIA – domande registrate dal 01/01/2018 al 22/10/2018,</w:t>
      </w:r>
      <w:r w:rsidR="00853CB5">
        <w:rPr>
          <w:rFonts w:ascii="DecimaWE Rg" w:hAnsi="DecimaWE Rg"/>
          <w:i/>
          <w:sz w:val="16"/>
          <w:szCs w:val="16"/>
        </w:rPr>
        <w:t xml:space="preserve"> estrazione dati al 03/05/2019.</w:t>
      </w:r>
    </w:p>
    <w:sectPr w:rsidR="00534D68" w:rsidRPr="00534D68" w:rsidSect="00DC1E55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156" w:rsidRDefault="006D7156" w:rsidP="00FB2C90">
      <w:pPr>
        <w:spacing w:after="0" w:line="240" w:lineRule="auto"/>
      </w:pPr>
      <w:r>
        <w:separator/>
      </w:r>
    </w:p>
  </w:endnote>
  <w:endnote w:type="continuationSeparator" w:id="0">
    <w:p w:rsidR="006D7156" w:rsidRDefault="006D7156" w:rsidP="00FB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094442"/>
      <w:docPartObj>
        <w:docPartGallery w:val="Page Numbers (Bottom of Page)"/>
        <w:docPartUnique/>
      </w:docPartObj>
    </w:sdtPr>
    <w:sdtEndPr/>
    <w:sdtContent>
      <w:p w:rsidR="00DC1E55" w:rsidRDefault="00DC1E5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E15">
          <w:rPr>
            <w:noProof/>
          </w:rPr>
          <w:t>16</w:t>
        </w:r>
        <w:r>
          <w:fldChar w:fldCharType="end"/>
        </w:r>
      </w:p>
    </w:sdtContent>
  </w:sdt>
  <w:p w:rsidR="00DC1E55" w:rsidRDefault="00DC1E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156" w:rsidRDefault="006D7156" w:rsidP="00FB2C90">
      <w:pPr>
        <w:spacing w:after="0" w:line="240" w:lineRule="auto"/>
      </w:pPr>
      <w:r>
        <w:separator/>
      </w:r>
    </w:p>
  </w:footnote>
  <w:footnote w:type="continuationSeparator" w:id="0">
    <w:p w:rsidR="006D7156" w:rsidRDefault="006D7156" w:rsidP="00FB2C90">
      <w:pPr>
        <w:spacing w:after="0" w:line="240" w:lineRule="auto"/>
      </w:pPr>
      <w:r>
        <w:continuationSeparator/>
      </w:r>
    </w:p>
  </w:footnote>
  <w:footnote w:id="1">
    <w:p w:rsidR="004B2DA8" w:rsidRPr="00C51CCD" w:rsidRDefault="004B2DA8" w:rsidP="00C51CCD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C51CCD">
        <w:rPr>
          <w:rStyle w:val="Rimandonotaapidipagina"/>
          <w:rFonts w:ascii="DecimaWE Rg" w:hAnsi="DecimaWE Rg"/>
          <w:sz w:val="18"/>
          <w:szCs w:val="18"/>
        </w:rPr>
        <w:footnoteRef/>
      </w:r>
      <w:r w:rsidRPr="00C51CCD">
        <w:rPr>
          <w:rFonts w:ascii="DecimaWE Rg" w:hAnsi="DecimaWE Rg"/>
          <w:sz w:val="18"/>
          <w:szCs w:val="18"/>
        </w:rPr>
        <w:t xml:space="preserve"> Per gli ulteriori requisiti e condizioni di accesso si veda l’art. 3 della L.R. 15/2015 e art. del regolamento </w:t>
      </w:r>
      <w:proofErr w:type="spellStart"/>
      <w:r w:rsidRPr="00C51CCD">
        <w:rPr>
          <w:rFonts w:ascii="DecimaWE Rg" w:hAnsi="DecimaWE Rg"/>
          <w:sz w:val="18"/>
          <w:szCs w:val="18"/>
        </w:rPr>
        <w:t>D.P.Reg</w:t>
      </w:r>
      <w:proofErr w:type="spellEnd"/>
      <w:r w:rsidRPr="00C51CCD">
        <w:rPr>
          <w:rFonts w:ascii="DecimaWE Rg" w:hAnsi="DecimaWE Rg"/>
          <w:sz w:val="18"/>
          <w:szCs w:val="18"/>
        </w:rPr>
        <w:t>. 216/2015.</w:t>
      </w:r>
    </w:p>
  </w:footnote>
  <w:footnote w:id="2">
    <w:p w:rsidR="00C51CCD" w:rsidRPr="00C51CCD" w:rsidRDefault="00C51CCD" w:rsidP="00C51CCD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C51CCD">
        <w:rPr>
          <w:rStyle w:val="Rimandonotaapidipagina"/>
          <w:rFonts w:ascii="DecimaWE Rg" w:hAnsi="DecimaWE Rg"/>
          <w:sz w:val="18"/>
          <w:szCs w:val="18"/>
        </w:rPr>
        <w:footnoteRef/>
      </w:r>
      <w:r w:rsidRPr="00C51CCD">
        <w:rPr>
          <w:rFonts w:ascii="DecimaWE Rg" w:hAnsi="DecimaWE Rg"/>
          <w:sz w:val="18"/>
          <w:szCs w:val="18"/>
        </w:rPr>
        <w:t xml:space="preserve"> In merito alla prosecuzione della MIA è necessario tenere presente che a seguito dell’avvio del Reddito di Cittadinanza sono state stabilite regole specifiche per disciplinare l’incompatibilità fra le due misure. In particolare è previsto che a partire </w:t>
      </w:r>
      <w:r w:rsidR="00314D70">
        <w:rPr>
          <w:rFonts w:ascii="DecimaWE Rg" w:hAnsi="DecimaWE Rg"/>
          <w:sz w:val="18"/>
          <w:szCs w:val="18"/>
        </w:rPr>
        <w:t xml:space="preserve">che le erogazioni </w:t>
      </w:r>
      <w:r w:rsidR="00124093">
        <w:rPr>
          <w:rFonts w:ascii="DecimaWE Rg" w:hAnsi="DecimaWE Rg"/>
          <w:sz w:val="18"/>
          <w:szCs w:val="18"/>
        </w:rPr>
        <w:t xml:space="preserve">di MIA </w:t>
      </w:r>
      <w:r w:rsidR="00314D70">
        <w:rPr>
          <w:rFonts w:ascii="DecimaWE Rg" w:hAnsi="DecimaWE Rg"/>
          <w:sz w:val="18"/>
          <w:szCs w:val="18"/>
        </w:rPr>
        <w:t xml:space="preserve">proseguono fino al bimestre di marzo-aprile 2019 e </w:t>
      </w:r>
      <w:r w:rsidR="007B351F">
        <w:rPr>
          <w:rFonts w:ascii="DecimaWE Rg" w:hAnsi="DecimaWE Rg"/>
          <w:sz w:val="18"/>
          <w:szCs w:val="18"/>
        </w:rPr>
        <w:t xml:space="preserve">in seguito sono ripristinate fino a conclusione per i soli nuclei beneficiari che presentano domanda di </w:t>
      </w:r>
      <w:proofErr w:type="spellStart"/>
      <w:r w:rsidR="007B351F">
        <w:rPr>
          <w:rFonts w:ascii="DecimaWE Rg" w:hAnsi="DecimaWE Rg"/>
          <w:sz w:val="18"/>
          <w:szCs w:val="18"/>
        </w:rPr>
        <w:t>R</w:t>
      </w:r>
      <w:r w:rsidR="007B351F" w:rsidRPr="00C51CCD">
        <w:rPr>
          <w:rFonts w:ascii="DecimaWE Rg" w:hAnsi="DecimaWE Rg"/>
          <w:sz w:val="18"/>
          <w:szCs w:val="18"/>
        </w:rPr>
        <w:t>dC</w:t>
      </w:r>
      <w:proofErr w:type="spellEnd"/>
      <w:r w:rsidR="007B351F" w:rsidRPr="00C51CCD">
        <w:rPr>
          <w:rFonts w:ascii="DecimaWE Rg" w:hAnsi="DecimaWE Rg"/>
          <w:sz w:val="18"/>
          <w:szCs w:val="18"/>
        </w:rPr>
        <w:t xml:space="preserve"> e vengono respinti per mancanza di requisiti</w:t>
      </w:r>
      <w:r w:rsidR="007B351F">
        <w:rPr>
          <w:rFonts w:ascii="DecimaWE Rg" w:hAnsi="DecimaWE Rg"/>
          <w:sz w:val="18"/>
          <w:szCs w:val="18"/>
        </w:rPr>
        <w:t xml:space="preserve">. Se il nucleo accede al </w:t>
      </w:r>
      <w:proofErr w:type="spellStart"/>
      <w:r w:rsidR="007B351F">
        <w:rPr>
          <w:rFonts w:ascii="DecimaWE Rg" w:hAnsi="DecimaWE Rg"/>
          <w:sz w:val="18"/>
          <w:szCs w:val="18"/>
        </w:rPr>
        <w:t>RdC</w:t>
      </w:r>
      <w:proofErr w:type="spellEnd"/>
      <w:r w:rsidR="007B351F">
        <w:rPr>
          <w:rFonts w:ascii="DecimaWE Rg" w:hAnsi="DecimaWE Rg"/>
          <w:sz w:val="18"/>
          <w:szCs w:val="18"/>
        </w:rPr>
        <w:t xml:space="preserve"> decade automaticamente dalla MIA a decorrere dal 1 maggio 2019 </w:t>
      </w:r>
      <w:r>
        <w:rPr>
          <w:rFonts w:ascii="DecimaWE Rg" w:hAnsi="DecimaWE Rg"/>
          <w:sz w:val="18"/>
          <w:szCs w:val="18"/>
        </w:rPr>
        <w:t>(vedasi LR 29/201</w:t>
      </w:r>
      <w:r w:rsidR="007B351F">
        <w:rPr>
          <w:rFonts w:ascii="DecimaWE Rg" w:hAnsi="DecimaWE Rg"/>
          <w:sz w:val="18"/>
          <w:szCs w:val="18"/>
        </w:rPr>
        <w:t>8</w:t>
      </w:r>
      <w:r>
        <w:rPr>
          <w:rFonts w:ascii="DecimaWE Rg" w:hAnsi="DecimaWE Rg"/>
          <w:sz w:val="18"/>
          <w:szCs w:val="18"/>
        </w:rPr>
        <w:t xml:space="preserve"> art. 9, comma 1</w:t>
      </w:r>
      <w:r w:rsidR="007B351F">
        <w:rPr>
          <w:rFonts w:ascii="DecimaWE Rg" w:hAnsi="DecimaWE Rg"/>
          <w:sz w:val="18"/>
          <w:szCs w:val="18"/>
        </w:rPr>
        <w:t>9</w:t>
      </w:r>
      <w:r>
        <w:rPr>
          <w:rFonts w:ascii="DecimaWE Rg" w:hAnsi="DecimaWE Rg"/>
          <w:sz w:val="18"/>
          <w:szCs w:val="18"/>
        </w:rPr>
        <w:t xml:space="preserve"> e DGR 592 del 12 aprile 2019)</w:t>
      </w:r>
      <w:r w:rsidRPr="00C51CCD">
        <w:rPr>
          <w:rFonts w:ascii="DecimaWE Rg" w:hAnsi="DecimaWE Rg"/>
          <w:sz w:val="18"/>
          <w:szCs w:val="18"/>
        </w:rPr>
        <w:t>.</w:t>
      </w:r>
    </w:p>
  </w:footnote>
  <w:footnote w:id="3">
    <w:p w:rsidR="00C6271A" w:rsidRPr="00C51CCD" w:rsidRDefault="00C6271A" w:rsidP="00C51CCD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C51CCD">
        <w:rPr>
          <w:rStyle w:val="Rimandonotaapidipagina"/>
          <w:rFonts w:ascii="DecimaWE Rg" w:hAnsi="DecimaWE Rg"/>
          <w:sz w:val="18"/>
          <w:szCs w:val="18"/>
        </w:rPr>
        <w:footnoteRef/>
      </w:r>
      <w:r w:rsidRPr="00C51CCD">
        <w:rPr>
          <w:rFonts w:ascii="DecimaWE Rg" w:hAnsi="DecimaWE Rg"/>
          <w:sz w:val="18"/>
          <w:szCs w:val="18"/>
        </w:rPr>
        <w:t xml:space="preserve"> 185,00 euro in caso di assenza di minori, 235,00 euro con un minore e 285,00 euro con due o più minori.</w:t>
      </w:r>
    </w:p>
  </w:footnote>
  <w:footnote w:id="4">
    <w:p w:rsidR="004B2DA8" w:rsidRDefault="004B2DA8" w:rsidP="00B151F0">
      <w:pPr>
        <w:pStyle w:val="Testonotaapidipagina"/>
        <w:jc w:val="both"/>
      </w:pPr>
      <w:r w:rsidRPr="00A70507">
        <w:rPr>
          <w:rStyle w:val="Rimandonotaapidipagina"/>
          <w:rFonts w:ascii="DecimaWE Rg" w:hAnsi="DecimaWE Rg"/>
          <w:sz w:val="18"/>
          <w:szCs w:val="18"/>
        </w:rPr>
        <w:footnoteRef/>
      </w:r>
      <w:r w:rsidRPr="00A70507">
        <w:rPr>
          <w:rFonts w:ascii="DecimaWE Rg" w:hAnsi="DecimaWE Rg"/>
          <w:sz w:val="18"/>
          <w:szCs w:val="18"/>
        </w:rPr>
        <w:t xml:space="preserve"> Si veda il primo monitoraggio allegato alla Generalità n.</w:t>
      </w:r>
      <w:r>
        <w:rPr>
          <w:rFonts w:ascii="DecimaWE Rg" w:hAnsi="DecimaWE Rg"/>
          <w:sz w:val="18"/>
          <w:szCs w:val="18"/>
        </w:rPr>
        <w:t xml:space="preserve"> </w:t>
      </w:r>
      <w:r w:rsidRPr="00A70507">
        <w:rPr>
          <w:rFonts w:ascii="DecimaWE Rg" w:hAnsi="DecimaWE Rg"/>
          <w:sz w:val="18"/>
          <w:szCs w:val="18"/>
        </w:rPr>
        <w:t>622 del 31/03/2017 e relativo alle domande presentate dal 22/10/2015 al 01/09/2016, ovvero fino all’entrata in vig</w:t>
      </w:r>
      <w:r w:rsidR="00E531F4">
        <w:rPr>
          <w:rFonts w:ascii="DecimaWE Rg" w:hAnsi="DecimaWE Rg"/>
          <w:sz w:val="18"/>
          <w:szCs w:val="18"/>
        </w:rPr>
        <w:t>ore della misura nazionale SIA,</w:t>
      </w:r>
      <w:r w:rsidRPr="00A70507">
        <w:rPr>
          <w:rFonts w:ascii="DecimaWE Rg" w:hAnsi="DecimaWE Rg"/>
          <w:sz w:val="18"/>
          <w:szCs w:val="18"/>
        </w:rPr>
        <w:t xml:space="preserve"> il successivo aggiornamento pe</w:t>
      </w:r>
      <w:r w:rsidR="00E531F4">
        <w:rPr>
          <w:rFonts w:ascii="DecimaWE Rg" w:hAnsi="DecimaWE Rg"/>
          <w:sz w:val="18"/>
          <w:szCs w:val="18"/>
        </w:rPr>
        <w:t>r le domande fino al 31/12/2016</w:t>
      </w:r>
      <w:r w:rsidR="004E4A7F">
        <w:rPr>
          <w:rFonts w:ascii="DecimaWE Rg" w:hAnsi="DecimaWE Rg"/>
          <w:sz w:val="18"/>
          <w:szCs w:val="18"/>
        </w:rPr>
        <w:t>,</w:t>
      </w:r>
      <w:r w:rsidR="00E531F4">
        <w:rPr>
          <w:rFonts w:ascii="DecimaWE Rg" w:hAnsi="DecimaWE Rg"/>
          <w:sz w:val="18"/>
          <w:szCs w:val="18"/>
        </w:rPr>
        <w:t xml:space="preserve"> e l’aggiornamento relativo alle domande presentate nel</w:t>
      </w:r>
      <w:r w:rsidR="004E4A7F">
        <w:rPr>
          <w:rFonts w:ascii="DecimaWE Rg" w:hAnsi="DecimaWE Rg"/>
          <w:sz w:val="18"/>
          <w:szCs w:val="18"/>
        </w:rPr>
        <w:t xml:space="preserve"> corso del</w:t>
      </w:r>
      <w:r w:rsidR="00E531F4">
        <w:rPr>
          <w:rFonts w:ascii="DecimaWE Rg" w:hAnsi="DecimaWE Rg"/>
          <w:sz w:val="18"/>
          <w:szCs w:val="18"/>
        </w:rPr>
        <w:t xml:space="preserve"> 2017.</w:t>
      </w:r>
    </w:p>
  </w:footnote>
  <w:footnote w:id="5">
    <w:p w:rsidR="004B2DA8" w:rsidRDefault="004B2DA8" w:rsidP="005B720B">
      <w:pPr>
        <w:pStyle w:val="Testonotaapidipagina"/>
        <w:jc w:val="both"/>
      </w:pPr>
      <w:r w:rsidRPr="00172F4A">
        <w:rPr>
          <w:rStyle w:val="Rimandonotaapidipagina"/>
          <w:rFonts w:ascii="DecimaWE Rg" w:hAnsi="DecimaWE Rg"/>
          <w:sz w:val="18"/>
          <w:szCs w:val="18"/>
        </w:rPr>
        <w:footnoteRef/>
      </w:r>
      <w:r w:rsidRPr="00172F4A">
        <w:rPr>
          <w:rFonts w:ascii="DecimaWE Rg" w:hAnsi="DecimaWE Rg"/>
          <w:sz w:val="18"/>
          <w:szCs w:val="18"/>
        </w:rPr>
        <w:t xml:space="preserve"> SIMIA (Sistema Informativo Misura Inclusione Attiva) è il sistema di inserimento e gestione ammini</w:t>
      </w:r>
      <w:r w:rsidR="00105671">
        <w:rPr>
          <w:rFonts w:ascii="DecimaWE Rg" w:hAnsi="DecimaWE Rg"/>
          <w:sz w:val="18"/>
          <w:szCs w:val="18"/>
        </w:rPr>
        <w:t>strativa delle domande MIA e REI FVG</w:t>
      </w:r>
      <w:r w:rsidRPr="00172F4A">
        <w:rPr>
          <w:rFonts w:ascii="DecimaWE Rg" w:hAnsi="DecimaWE Rg"/>
          <w:sz w:val="18"/>
          <w:szCs w:val="18"/>
        </w:rPr>
        <w:t xml:space="preserve"> in uso presso tutti i SSC.</w:t>
      </w:r>
    </w:p>
  </w:footnote>
  <w:footnote w:id="6">
    <w:p w:rsidR="004B2DA8" w:rsidRDefault="004B2DA8" w:rsidP="005B720B">
      <w:pPr>
        <w:pStyle w:val="Testonotaapidipagina"/>
        <w:jc w:val="both"/>
      </w:pPr>
      <w:r w:rsidRPr="00172F4A">
        <w:rPr>
          <w:rStyle w:val="Rimandonotaapidipagina"/>
          <w:rFonts w:ascii="DecimaWE Rg" w:hAnsi="DecimaWE Rg"/>
          <w:sz w:val="18"/>
          <w:szCs w:val="18"/>
        </w:rPr>
        <w:footnoteRef/>
      </w:r>
      <w:r w:rsidRPr="00172F4A">
        <w:rPr>
          <w:rFonts w:ascii="DecimaWE Rg" w:hAnsi="DecimaWE Rg"/>
          <w:sz w:val="18"/>
          <w:szCs w:val="18"/>
        </w:rPr>
        <w:t xml:space="preserve"> SIMIA CRM (Sistema Informativo Misura Inclusione Attiva - </w:t>
      </w:r>
      <w:proofErr w:type="spellStart"/>
      <w:r w:rsidRPr="00172F4A">
        <w:rPr>
          <w:rFonts w:ascii="DecimaWE Rg" w:hAnsi="DecimaWE Rg"/>
          <w:i/>
          <w:sz w:val="18"/>
          <w:szCs w:val="18"/>
        </w:rPr>
        <w:t>Costumer</w:t>
      </w:r>
      <w:proofErr w:type="spellEnd"/>
      <w:r w:rsidRPr="00172F4A">
        <w:rPr>
          <w:rFonts w:ascii="DecimaWE Rg" w:hAnsi="DecimaWE Rg"/>
          <w:i/>
          <w:sz w:val="18"/>
          <w:szCs w:val="18"/>
        </w:rPr>
        <w:t xml:space="preserve"> </w:t>
      </w:r>
      <w:proofErr w:type="spellStart"/>
      <w:r w:rsidRPr="00172F4A">
        <w:rPr>
          <w:rFonts w:ascii="DecimaWE Rg" w:hAnsi="DecimaWE Rg"/>
          <w:i/>
          <w:sz w:val="18"/>
          <w:szCs w:val="18"/>
        </w:rPr>
        <w:t>Relationship</w:t>
      </w:r>
      <w:proofErr w:type="spellEnd"/>
      <w:r w:rsidRPr="00172F4A">
        <w:rPr>
          <w:rFonts w:ascii="DecimaWE Rg" w:hAnsi="DecimaWE Rg"/>
          <w:i/>
          <w:sz w:val="18"/>
          <w:szCs w:val="18"/>
        </w:rPr>
        <w:t xml:space="preserve"> Management</w:t>
      </w:r>
      <w:r w:rsidRPr="00172F4A">
        <w:rPr>
          <w:rFonts w:ascii="DecimaWE Rg" w:hAnsi="DecimaWE Rg"/>
          <w:sz w:val="18"/>
          <w:szCs w:val="18"/>
        </w:rPr>
        <w:t xml:space="preserve">) Piattaforma Microsoft collegata al sistema informativo amministrativo (SIMIA) e utilizzata come interfaccia per la somministrazione delle schede di valutazione ITO e per la stesura e predisposizione del Patto di Inclusione. </w:t>
      </w:r>
      <w:r w:rsidR="00762902">
        <w:rPr>
          <w:rFonts w:ascii="DecimaWE Rg" w:hAnsi="DecimaWE Rg"/>
          <w:sz w:val="18"/>
          <w:szCs w:val="18"/>
        </w:rPr>
        <w:t xml:space="preserve">È </w:t>
      </w:r>
      <w:r w:rsidRPr="00172F4A">
        <w:rPr>
          <w:rFonts w:ascii="DecimaWE Rg" w:hAnsi="DecimaWE Rg"/>
          <w:sz w:val="18"/>
          <w:szCs w:val="18"/>
        </w:rPr>
        <w:t>interfaccia comune per gli operatori dei SSC e dei CPI.</w:t>
      </w:r>
    </w:p>
  </w:footnote>
  <w:footnote w:id="7">
    <w:p w:rsidR="004B2DA8" w:rsidRDefault="004B2DA8">
      <w:pPr>
        <w:pStyle w:val="Testonotaapidipagina"/>
      </w:pPr>
      <w:r w:rsidRPr="00172F4A">
        <w:rPr>
          <w:rStyle w:val="Rimandonotaapidipagina"/>
          <w:rFonts w:ascii="DecimaWE Rg" w:hAnsi="DecimaWE Rg"/>
          <w:sz w:val="18"/>
          <w:szCs w:val="18"/>
        </w:rPr>
        <w:footnoteRef/>
      </w:r>
      <w:r w:rsidRPr="00172F4A">
        <w:rPr>
          <w:rFonts w:ascii="DecimaWE Rg" w:hAnsi="DecimaWE Rg"/>
          <w:sz w:val="18"/>
          <w:szCs w:val="18"/>
        </w:rPr>
        <w:t xml:space="preserve"> Domande etichettate in data base SIMIA come “rinnovo”.</w:t>
      </w:r>
    </w:p>
  </w:footnote>
  <w:footnote w:id="8">
    <w:p w:rsidR="004B2DA8" w:rsidRDefault="004B2DA8" w:rsidP="00481869">
      <w:pPr>
        <w:pStyle w:val="Testonotaapidipagina"/>
        <w:jc w:val="both"/>
      </w:pPr>
      <w:r w:rsidRPr="00481869">
        <w:rPr>
          <w:rStyle w:val="Rimandonotaapidipagina"/>
          <w:rFonts w:ascii="DecimaWE Rg" w:hAnsi="DecimaWE Rg"/>
          <w:sz w:val="18"/>
          <w:szCs w:val="18"/>
        </w:rPr>
        <w:footnoteRef/>
      </w:r>
      <w:r w:rsidRPr="00481869">
        <w:rPr>
          <w:rFonts w:ascii="DecimaWE Rg" w:hAnsi="DecimaWE Rg"/>
          <w:sz w:val="18"/>
          <w:szCs w:val="18"/>
        </w:rPr>
        <w:t xml:space="preserve"> Si intendono beneficiari i nuclei per i quali risulta registrato a sistema SIMIA almeno un pagamento riferito alla misura monitorata. </w:t>
      </w:r>
    </w:p>
  </w:footnote>
  <w:footnote w:id="9">
    <w:p w:rsidR="006E6210" w:rsidRPr="004C1668" w:rsidRDefault="006E6210" w:rsidP="006E6210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4C1668">
        <w:rPr>
          <w:rStyle w:val="Rimandonotaapidipagina"/>
          <w:rFonts w:ascii="DecimaWE Rg" w:hAnsi="DecimaWE Rg"/>
          <w:sz w:val="18"/>
          <w:szCs w:val="18"/>
        </w:rPr>
        <w:footnoteRef/>
      </w:r>
      <w:r w:rsidRPr="004C1668">
        <w:rPr>
          <w:rFonts w:ascii="DecimaWE Rg" w:hAnsi="DecimaWE Rg"/>
          <w:sz w:val="18"/>
          <w:szCs w:val="18"/>
        </w:rPr>
        <w:t xml:space="preserve"> L’importo </w:t>
      </w:r>
      <w:r w:rsidR="001E2EB3">
        <w:rPr>
          <w:rFonts w:ascii="DecimaWE Rg" w:hAnsi="DecimaWE Rg"/>
          <w:sz w:val="18"/>
          <w:szCs w:val="18"/>
        </w:rPr>
        <w:t xml:space="preserve">risulta da un totale di </w:t>
      </w:r>
      <w:r w:rsidR="001E2EB3" w:rsidRPr="004C1668">
        <w:rPr>
          <w:rFonts w:ascii="DecimaWE Rg" w:hAnsi="DecimaWE Rg"/>
          <w:sz w:val="18"/>
          <w:szCs w:val="18"/>
        </w:rPr>
        <w:t>euro 28.110.790,93</w:t>
      </w:r>
      <w:r w:rsidR="001E2EB3">
        <w:rPr>
          <w:rFonts w:ascii="DecimaWE Rg" w:hAnsi="DecimaWE Rg"/>
          <w:sz w:val="18"/>
          <w:szCs w:val="18"/>
        </w:rPr>
        <w:t xml:space="preserve"> relativo alle </w:t>
      </w:r>
      <w:r w:rsidRPr="004C1668">
        <w:rPr>
          <w:rFonts w:ascii="DecimaWE Rg" w:hAnsi="DecimaWE Rg"/>
          <w:sz w:val="18"/>
          <w:szCs w:val="18"/>
        </w:rPr>
        <w:t xml:space="preserve">disposizioni di pagamento di rate bimestrali di MIA inviate a INPS </w:t>
      </w:r>
      <w:r w:rsidR="001E2EB3">
        <w:rPr>
          <w:rFonts w:ascii="DecimaWE Rg" w:hAnsi="DecimaWE Rg"/>
          <w:sz w:val="18"/>
          <w:szCs w:val="18"/>
        </w:rPr>
        <w:t xml:space="preserve">per l’accredito delle carte elettroniche </w:t>
      </w:r>
      <w:r w:rsidR="00B05A91">
        <w:rPr>
          <w:rFonts w:ascii="DecimaWE Rg" w:hAnsi="DecimaWE Rg"/>
          <w:sz w:val="18"/>
          <w:szCs w:val="18"/>
        </w:rPr>
        <w:t>a</w:t>
      </w:r>
      <w:r w:rsidR="008B785E">
        <w:rPr>
          <w:rFonts w:ascii="DecimaWE Rg" w:hAnsi="DecimaWE Rg"/>
          <w:sz w:val="18"/>
          <w:szCs w:val="18"/>
        </w:rPr>
        <w:t xml:space="preserve">lla data </w:t>
      </w:r>
      <w:r w:rsidR="004C1668" w:rsidRPr="004C1668">
        <w:rPr>
          <w:rFonts w:ascii="DecimaWE Rg" w:hAnsi="DecimaWE Rg"/>
          <w:sz w:val="18"/>
          <w:szCs w:val="18"/>
        </w:rPr>
        <w:t>del 07/01/2019</w:t>
      </w:r>
      <w:r w:rsidR="001E2EB3">
        <w:rPr>
          <w:rFonts w:ascii="DecimaWE Rg" w:hAnsi="DecimaWE Rg"/>
          <w:sz w:val="18"/>
          <w:szCs w:val="18"/>
        </w:rPr>
        <w:t xml:space="preserve"> al quale vanno aggiunti </w:t>
      </w:r>
      <w:r w:rsidR="004C1668" w:rsidRPr="004C1668">
        <w:rPr>
          <w:rFonts w:ascii="DecimaWE Rg" w:hAnsi="DecimaWE Rg"/>
          <w:sz w:val="18"/>
          <w:szCs w:val="18"/>
        </w:rPr>
        <w:t>euro 317.834,18 trasferiti ai SSC per erogazioni</w:t>
      </w:r>
      <w:r w:rsidR="0000726E">
        <w:rPr>
          <w:rFonts w:ascii="DecimaWE Rg" w:hAnsi="DecimaWE Rg"/>
          <w:sz w:val="18"/>
          <w:szCs w:val="18"/>
        </w:rPr>
        <w:t xml:space="preserve"> con modalità diretta </w:t>
      </w:r>
      <w:r w:rsidR="004C1668" w:rsidRPr="004C1668">
        <w:rPr>
          <w:rFonts w:ascii="DecimaWE Rg" w:hAnsi="DecimaWE Rg"/>
          <w:sz w:val="18"/>
          <w:szCs w:val="18"/>
        </w:rPr>
        <w:t>extra carta elettronica</w:t>
      </w:r>
      <w:r w:rsidRPr="004C1668">
        <w:rPr>
          <w:rFonts w:ascii="DecimaWE Rg" w:hAnsi="DecimaWE Rg"/>
          <w:sz w:val="18"/>
          <w:szCs w:val="18"/>
        </w:rPr>
        <w:t xml:space="preserve">. Non </w:t>
      </w:r>
      <w:r w:rsidR="00DA37E1">
        <w:rPr>
          <w:rFonts w:ascii="DecimaWE Rg" w:hAnsi="DecimaWE Rg"/>
          <w:sz w:val="18"/>
          <w:szCs w:val="18"/>
        </w:rPr>
        <w:t xml:space="preserve">è compreso </w:t>
      </w:r>
      <w:r w:rsidRPr="004C1668">
        <w:rPr>
          <w:rFonts w:ascii="DecimaWE Rg" w:hAnsi="DecimaWE Rg"/>
          <w:sz w:val="18"/>
          <w:szCs w:val="18"/>
        </w:rPr>
        <w:t>il bimestre di novembre-dicembre 2018 che è stato erogato materialmente nel 2019 e comprend</w:t>
      </w:r>
      <w:r w:rsidR="0057094F">
        <w:rPr>
          <w:rFonts w:ascii="DecimaWE Rg" w:hAnsi="DecimaWE Rg"/>
          <w:sz w:val="18"/>
          <w:szCs w:val="18"/>
        </w:rPr>
        <w:t>e</w:t>
      </w:r>
      <w:r w:rsidRPr="004C1668">
        <w:rPr>
          <w:rFonts w:ascii="DecimaWE Rg" w:hAnsi="DecimaWE Rg"/>
          <w:sz w:val="18"/>
          <w:szCs w:val="18"/>
        </w:rPr>
        <w:t xml:space="preserve"> erogazioni di arretrati 2017</w:t>
      </w:r>
      <w:r w:rsidR="0071304B">
        <w:rPr>
          <w:rFonts w:ascii="DecimaWE Rg" w:hAnsi="DecimaWE Rg"/>
          <w:sz w:val="18"/>
          <w:szCs w:val="18"/>
        </w:rPr>
        <w:t xml:space="preserve"> per euro 108.433,60</w:t>
      </w:r>
      <w:r w:rsidRPr="004C1668">
        <w:rPr>
          <w:rFonts w:ascii="DecimaWE Rg" w:hAnsi="DecimaWE Rg"/>
          <w:sz w:val="18"/>
          <w:szCs w:val="18"/>
        </w:rPr>
        <w:t>.</w:t>
      </w:r>
    </w:p>
  </w:footnote>
  <w:footnote w:id="10">
    <w:p w:rsidR="006127A4" w:rsidRPr="006127A4" w:rsidRDefault="006127A4" w:rsidP="006127A4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6127A4">
        <w:rPr>
          <w:rStyle w:val="Rimandonotaapidipagina"/>
          <w:rFonts w:ascii="DecimaWE Rg" w:hAnsi="DecimaWE Rg"/>
          <w:sz w:val="18"/>
          <w:szCs w:val="18"/>
        </w:rPr>
        <w:footnoteRef/>
      </w:r>
      <w:r w:rsidRPr="006127A4">
        <w:rPr>
          <w:rFonts w:ascii="DecimaWE Rg" w:hAnsi="DecimaWE Rg"/>
          <w:sz w:val="18"/>
          <w:szCs w:val="18"/>
        </w:rPr>
        <w:t xml:space="preserve"> L’importo è riferito alle </w:t>
      </w:r>
      <w:r>
        <w:rPr>
          <w:rFonts w:ascii="DecimaWE Rg" w:hAnsi="DecimaWE Rg"/>
          <w:sz w:val="18"/>
          <w:szCs w:val="18"/>
        </w:rPr>
        <w:t xml:space="preserve">mensilità di </w:t>
      </w:r>
      <w:proofErr w:type="spellStart"/>
      <w:r>
        <w:rPr>
          <w:rFonts w:ascii="DecimaWE Rg" w:hAnsi="DecimaWE Rg"/>
          <w:sz w:val="18"/>
          <w:szCs w:val="18"/>
        </w:rPr>
        <w:t>ReI</w:t>
      </w:r>
      <w:proofErr w:type="spellEnd"/>
      <w:r>
        <w:rPr>
          <w:rFonts w:ascii="DecimaWE Rg" w:hAnsi="DecimaWE Rg"/>
          <w:sz w:val="18"/>
          <w:szCs w:val="18"/>
        </w:rPr>
        <w:t xml:space="preserve"> FVG da gennaio a giugno 2018 che sono state erogate una tantum </w:t>
      </w:r>
      <w:r w:rsidRPr="006127A4">
        <w:rPr>
          <w:rFonts w:ascii="DecimaWE Rg" w:hAnsi="DecimaWE Rg"/>
          <w:sz w:val="18"/>
          <w:szCs w:val="18"/>
        </w:rPr>
        <w:t>direttamente dalla Regione per ovviare alla mancata operatività d</w:t>
      </w:r>
      <w:r>
        <w:rPr>
          <w:rFonts w:ascii="DecimaWE Rg" w:hAnsi="DecimaWE Rg"/>
          <w:sz w:val="18"/>
          <w:szCs w:val="18"/>
        </w:rPr>
        <w:t>ella modalità di pagamento del</w:t>
      </w:r>
      <w:r w:rsidR="00E630F9">
        <w:rPr>
          <w:rFonts w:ascii="DecimaWE Rg" w:hAnsi="DecimaWE Rg"/>
          <w:sz w:val="18"/>
          <w:szCs w:val="18"/>
        </w:rPr>
        <w:t>le integrazioni regionali s</w:t>
      </w:r>
      <w:r>
        <w:rPr>
          <w:rFonts w:ascii="DecimaWE Rg" w:hAnsi="DecimaWE Rg"/>
          <w:sz w:val="18"/>
          <w:szCs w:val="18"/>
        </w:rPr>
        <w:t>u</w:t>
      </w:r>
      <w:r w:rsidR="00E630F9">
        <w:rPr>
          <w:rFonts w:ascii="DecimaWE Rg" w:hAnsi="DecimaWE Rg"/>
          <w:sz w:val="18"/>
          <w:szCs w:val="18"/>
        </w:rPr>
        <w:t xml:space="preserve">lle carte </w:t>
      </w:r>
      <w:r>
        <w:rPr>
          <w:rFonts w:ascii="DecimaWE Rg" w:hAnsi="DecimaWE Rg"/>
          <w:sz w:val="18"/>
          <w:szCs w:val="18"/>
        </w:rPr>
        <w:t>elettronic</w:t>
      </w:r>
      <w:r w:rsidR="00E630F9">
        <w:rPr>
          <w:rFonts w:ascii="DecimaWE Rg" w:hAnsi="DecimaWE Rg"/>
          <w:sz w:val="18"/>
          <w:szCs w:val="18"/>
        </w:rPr>
        <w:t xml:space="preserve">he già in uso ai beneficiari di </w:t>
      </w:r>
      <w:proofErr w:type="spellStart"/>
      <w:r w:rsidR="00E630F9">
        <w:rPr>
          <w:rFonts w:ascii="DecimaWE Rg" w:hAnsi="DecimaWE Rg"/>
          <w:sz w:val="18"/>
          <w:szCs w:val="18"/>
        </w:rPr>
        <w:t>ReI</w:t>
      </w:r>
      <w:proofErr w:type="spellEnd"/>
      <w:r>
        <w:rPr>
          <w:rFonts w:ascii="DecimaWE Rg" w:hAnsi="DecimaWE Rg"/>
          <w:sz w:val="18"/>
          <w:szCs w:val="18"/>
        </w:rPr>
        <w:t xml:space="preserve">. Il pagamento su </w:t>
      </w:r>
      <w:r w:rsidR="00E630F9">
        <w:rPr>
          <w:rFonts w:ascii="DecimaWE Rg" w:hAnsi="DecimaWE Rg"/>
          <w:sz w:val="18"/>
          <w:szCs w:val="18"/>
        </w:rPr>
        <w:t>c</w:t>
      </w:r>
      <w:r>
        <w:rPr>
          <w:rFonts w:ascii="DecimaWE Rg" w:hAnsi="DecimaWE Rg"/>
          <w:sz w:val="18"/>
          <w:szCs w:val="18"/>
        </w:rPr>
        <w:t>arta è s</w:t>
      </w:r>
      <w:r w:rsidRPr="006127A4">
        <w:rPr>
          <w:rFonts w:ascii="DecimaWE Rg" w:hAnsi="DecimaWE Rg"/>
          <w:sz w:val="18"/>
          <w:szCs w:val="18"/>
        </w:rPr>
        <w:t>tato reso oper</w:t>
      </w:r>
      <w:r>
        <w:rPr>
          <w:rFonts w:ascii="DecimaWE Rg" w:hAnsi="DecimaWE Rg"/>
          <w:sz w:val="18"/>
          <w:szCs w:val="18"/>
        </w:rPr>
        <w:t xml:space="preserve">ativo nel gennaio 2019 e </w:t>
      </w:r>
      <w:r w:rsidR="007459CC">
        <w:rPr>
          <w:rFonts w:ascii="DecimaWE Rg" w:hAnsi="DecimaWE Rg"/>
          <w:sz w:val="18"/>
          <w:szCs w:val="18"/>
        </w:rPr>
        <w:t xml:space="preserve">successivamente </w:t>
      </w:r>
      <w:r w:rsidR="00FF6849">
        <w:rPr>
          <w:rFonts w:ascii="DecimaWE Rg" w:hAnsi="DecimaWE Rg"/>
          <w:sz w:val="18"/>
          <w:szCs w:val="18"/>
        </w:rPr>
        <w:t>si è provveduto all’erogazione di</w:t>
      </w:r>
      <w:r>
        <w:rPr>
          <w:rFonts w:ascii="DecimaWE Rg" w:hAnsi="DecimaWE Rg"/>
          <w:sz w:val="18"/>
          <w:szCs w:val="18"/>
        </w:rPr>
        <w:t xml:space="preserve"> tutti gli arretrati del 2018.</w:t>
      </w:r>
    </w:p>
  </w:footnote>
  <w:footnote w:id="11">
    <w:p w:rsidR="004B2DA8" w:rsidRDefault="004B2DA8">
      <w:pPr>
        <w:pStyle w:val="Testonotaapidipagina"/>
      </w:pPr>
      <w:r w:rsidRPr="0086280E">
        <w:rPr>
          <w:rStyle w:val="Rimandonotaapidipagina"/>
          <w:rFonts w:ascii="DecimaWE Rg" w:hAnsi="DecimaWE Rg"/>
          <w:sz w:val="18"/>
          <w:szCs w:val="18"/>
        </w:rPr>
        <w:footnoteRef/>
      </w:r>
      <w:r w:rsidRPr="0086280E">
        <w:rPr>
          <w:rFonts w:ascii="DecimaWE Rg" w:hAnsi="DecimaWE Rg"/>
          <w:sz w:val="18"/>
          <w:szCs w:val="18"/>
        </w:rPr>
        <w:t xml:space="preserve"> Per le famiglie resi</w:t>
      </w:r>
      <w:r w:rsidR="00010700">
        <w:rPr>
          <w:rFonts w:ascii="DecimaWE Rg" w:hAnsi="DecimaWE Rg"/>
          <w:sz w:val="18"/>
          <w:szCs w:val="18"/>
        </w:rPr>
        <w:t>denti in regione FVG (totale 562.566</w:t>
      </w:r>
      <w:r w:rsidRPr="0086280E">
        <w:rPr>
          <w:rFonts w:ascii="DecimaWE Rg" w:hAnsi="DecimaWE Rg"/>
          <w:sz w:val="18"/>
          <w:szCs w:val="18"/>
        </w:rPr>
        <w:t xml:space="preserve">): </w:t>
      </w:r>
      <w:r w:rsidR="00010700">
        <w:rPr>
          <w:rFonts w:ascii="DecimaWE Rg" w:hAnsi="DecimaWE Rg"/>
          <w:sz w:val="18"/>
          <w:szCs w:val="18"/>
        </w:rPr>
        <w:t>Istat, Bilancio demografico 2017</w:t>
      </w:r>
      <w:r w:rsidRPr="0086280E">
        <w:rPr>
          <w:rFonts w:ascii="DecimaWE Rg" w:hAnsi="DecimaWE Rg"/>
          <w:sz w:val="18"/>
          <w:szCs w:val="18"/>
        </w:rPr>
        <w:t>.</w:t>
      </w:r>
    </w:p>
  </w:footnote>
  <w:footnote w:id="12">
    <w:p w:rsidR="00DB2B10" w:rsidRDefault="00DB2B10" w:rsidP="00DB2B10">
      <w:pPr>
        <w:pStyle w:val="Testonotaapidipagina"/>
      </w:pPr>
      <w:r w:rsidRPr="00CC2BC5">
        <w:rPr>
          <w:rStyle w:val="Rimandonotaapidipagina"/>
          <w:rFonts w:ascii="DecimaWE Rg" w:hAnsi="DecimaWE Rg"/>
          <w:sz w:val="18"/>
          <w:szCs w:val="18"/>
        </w:rPr>
        <w:footnoteRef/>
      </w:r>
      <w:r w:rsidRPr="00CC2BC5">
        <w:rPr>
          <w:rFonts w:ascii="DecimaWE Rg" w:hAnsi="DecimaWE Rg"/>
          <w:sz w:val="18"/>
          <w:szCs w:val="18"/>
        </w:rPr>
        <w:t xml:space="preserve"> Fonte Istat: Bilancio demografico 2017</w:t>
      </w:r>
      <w:r>
        <w:rPr>
          <w:rFonts w:ascii="DecimaWE Rg" w:hAnsi="DecimaWE Rg"/>
          <w:sz w:val="18"/>
          <w:szCs w:val="18"/>
        </w:rPr>
        <w:t>.</w:t>
      </w:r>
      <w:r w:rsidRPr="003F469A">
        <w:rPr>
          <w:rFonts w:ascii="DecimaWE Rg" w:hAnsi="DecimaWE Rg"/>
          <w:color w:val="FF0000"/>
          <w:sz w:val="18"/>
          <w:szCs w:val="18"/>
        </w:rPr>
        <w:t>.</w:t>
      </w:r>
    </w:p>
  </w:footnote>
  <w:footnote w:id="13">
    <w:p w:rsidR="00DB2B10" w:rsidRPr="00CE61D0" w:rsidRDefault="00DB2B10" w:rsidP="00DB2B10">
      <w:pPr>
        <w:pStyle w:val="Testonotaapidipagina"/>
      </w:pPr>
      <w:r w:rsidRPr="00CE61D0">
        <w:rPr>
          <w:rStyle w:val="Rimandonotaapidipagina"/>
          <w:rFonts w:ascii="DecimaWE Rg" w:hAnsi="DecimaWE Rg"/>
          <w:sz w:val="18"/>
          <w:szCs w:val="18"/>
        </w:rPr>
        <w:footnoteRef/>
      </w:r>
      <w:r w:rsidRPr="00CE61D0">
        <w:rPr>
          <w:rFonts w:ascii="DecimaWE Rg" w:hAnsi="DecimaWE Rg"/>
          <w:sz w:val="18"/>
          <w:szCs w:val="18"/>
        </w:rPr>
        <w:t xml:space="preserve"> Cfr. Istat, La povertà in Italia, Anno 2017; Statistiche Report.</w:t>
      </w:r>
    </w:p>
  </w:footnote>
  <w:footnote w:id="14">
    <w:p w:rsidR="00DB2B10" w:rsidRDefault="00DB2B10" w:rsidP="00DB2B10">
      <w:pPr>
        <w:pStyle w:val="Testonotaapidipagina"/>
        <w:jc w:val="both"/>
      </w:pPr>
      <w:r w:rsidRPr="003E3F67">
        <w:rPr>
          <w:rStyle w:val="Rimandonotaapidipagina"/>
          <w:rFonts w:ascii="DecimaWE Rg" w:hAnsi="DecimaWE Rg"/>
          <w:sz w:val="18"/>
          <w:szCs w:val="18"/>
        </w:rPr>
        <w:footnoteRef/>
      </w:r>
      <w:r w:rsidRPr="003E3F67">
        <w:rPr>
          <w:rFonts w:ascii="DecimaWE Rg" w:hAnsi="DecimaWE Rg"/>
          <w:sz w:val="18"/>
          <w:szCs w:val="18"/>
        </w:rPr>
        <w:t xml:space="preserve"> Così come certificata e indicata all’interno della DSU – Dichiarazione sostitutiva unica ai fini ISEE.</w:t>
      </w:r>
    </w:p>
  </w:footnote>
  <w:footnote w:id="15">
    <w:p w:rsidR="00DB2B10" w:rsidRDefault="00DB2B10" w:rsidP="00DB2B10">
      <w:pPr>
        <w:pStyle w:val="Testonotaapidipagina"/>
        <w:jc w:val="both"/>
      </w:pPr>
      <w:r w:rsidRPr="003E3F67">
        <w:rPr>
          <w:rStyle w:val="Rimandonotaapidipagina"/>
          <w:rFonts w:ascii="DecimaWE Rg" w:hAnsi="DecimaWE Rg"/>
          <w:sz w:val="18"/>
          <w:szCs w:val="18"/>
        </w:rPr>
        <w:footnoteRef/>
      </w:r>
      <w:r w:rsidRPr="003E3F67">
        <w:rPr>
          <w:rFonts w:ascii="DecimaWE Rg" w:hAnsi="DecimaWE Rg"/>
          <w:sz w:val="18"/>
          <w:szCs w:val="18"/>
        </w:rPr>
        <w:t xml:space="preserve"> Cosi come dichiarata al momento della </w:t>
      </w:r>
      <w:r w:rsidRPr="007F4789">
        <w:rPr>
          <w:rFonts w:ascii="DecimaWE Rg" w:hAnsi="DecimaWE Rg"/>
          <w:sz w:val="18"/>
          <w:szCs w:val="18"/>
        </w:rPr>
        <w:t>presentazione della DSU - Dichiarazione sostitutiva unica ai fini ISEE</w:t>
      </w:r>
      <w:r>
        <w:rPr>
          <w:rFonts w:ascii="DecimaWE Rg" w:hAnsi="DecimaWE Rg"/>
          <w:sz w:val="18"/>
          <w:szCs w:val="18"/>
        </w:rPr>
        <w:t xml:space="preserve"> (</w:t>
      </w:r>
      <w:r w:rsidRPr="007F4789">
        <w:rPr>
          <w:rFonts w:ascii="DecimaWE Rg" w:hAnsi="DecimaWE Rg"/>
          <w:sz w:val="18"/>
          <w:szCs w:val="18"/>
        </w:rPr>
        <w:t xml:space="preserve">antecedente al momento </w:t>
      </w:r>
      <w:r>
        <w:rPr>
          <w:rFonts w:ascii="DecimaWE Rg" w:hAnsi="DecimaWE Rg"/>
          <w:sz w:val="18"/>
          <w:szCs w:val="18"/>
        </w:rPr>
        <w:t>di presentazione della domanda;</w:t>
      </w:r>
      <w:r w:rsidRPr="007F4789">
        <w:rPr>
          <w:rFonts w:ascii="DecimaWE Rg" w:hAnsi="DecimaWE Rg"/>
          <w:sz w:val="18"/>
          <w:szCs w:val="18"/>
        </w:rPr>
        <w:t xml:space="preserve"> può pertanto</w:t>
      </w:r>
      <w:r>
        <w:rPr>
          <w:rFonts w:ascii="DecimaWE Rg" w:hAnsi="DecimaWE Rg"/>
          <w:sz w:val="18"/>
          <w:szCs w:val="18"/>
        </w:rPr>
        <w:t xml:space="preserve"> risultare difforme dalla </w:t>
      </w:r>
      <w:r w:rsidRPr="007F4789">
        <w:rPr>
          <w:rFonts w:ascii="DecimaWE Rg" w:hAnsi="DecimaWE Rg"/>
          <w:sz w:val="18"/>
          <w:szCs w:val="18"/>
        </w:rPr>
        <w:t>condizione</w:t>
      </w:r>
      <w:r>
        <w:rPr>
          <w:rFonts w:ascii="DecimaWE Rg" w:hAnsi="DecimaWE Rg"/>
          <w:sz w:val="18"/>
          <w:szCs w:val="18"/>
        </w:rPr>
        <w:t xml:space="preserve"> effettiva</w:t>
      </w:r>
      <w:r w:rsidRPr="007F4789">
        <w:rPr>
          <w:rFonts w:ascii="DecimaWE Rg" w:hAnsi="DecimaWE Rg"/>
          <w:sz w:val="18"/>
          <w:szCs w:val="18"/>
        </w:rPr>
        <w:t xml:space="preserve"> nel periodo di fruizione del beneficio).</w:t>
      </w:r>
    </w:p>
  </w:footnote>
  <w:footnote w:id="16">
    <w:p w:rsidR="004B2DA8" w:rsidRDefault="004B2DA8" w:rsidP="005737A1">
      <w:pPr>
        <w:pStyle w:val="Testonotaapidipagina"/>
        <w:jc w:val="both"/>
      </w:pPr>
      <w:r w:rsidRPr="003E3F67">
        <w:rPr>
          <w:rStyle w:val="Rimandonotaapidipagina"/>
          <w:rFonts w:ascii="DecimaWE Rg" w:hAnsi="DecimaWE Rg"/>
          <w:sz w:val="18"/>
          <w:szCs w:val="18"/>
        </w:rPr>
        <w:footnoteRef/>
      </w:r>
      <w:r w:rsidRPr="003E3F67">
        <w:rPr>
          <w:rFonts w:ascii="DecimaWE Rg" w:hAnsi="DecimaWE Rg"/>
          <w:sz w:val="18"/>
          <w:szCs w:val="18"/>
        </w:rPr>
        <w:t xml:space="preserve"> ITO Indicatore Teorico di Occupabilità è uno strumento già in utilizzo presso alcuni territori della regione precedentemente all’entrata in vigore della misura, che sarà oggetto di validazione e valutazione nel corso del triennio di sperimentazione. Si tratta di un questionario atto a supportare la valutazione professionale, attraverso la raccolta di una serie di informazioni della persona che consentono di fornire un quadro della situazione socio-occupazionale della stessa, evidenziando requisiti e </w:t>
      </w:r>
      <w:proofErr w:type="spellStart"/>
      <w:r w:rsidRPr="003E3F67">
        <w:rPr>
          <w:rFonts w:ascii="DecimaWE Rg" w:hAnsi="DecimaWE Rg"/>
          <w:sz w:val="18"/>
          <w:szCs w:val="18"/>
        </w:rPr>
        <w:t>pre</w:t>
      </w:r>
      <w:proofErr w:type="spellEnd"/>
      <w:r w:rsidRPr="003E3F67">
        <w:rPr>
          <w:rFonts w:ascii="DecimaWE Rg" w:hAnsi="DecimaWE Rg"/>
          <w:sz w:val="18"/>
          <w:szCs w:val="18"/>
        </w:rPr>
        <w:t xml:space="preserve">-requisiti di </w:t>
      </w:r>
      <w:proofErr w:type="spellStart"/>
      <w:r w:rsidRPr="003E3F67">
        <w:rPr>
          <w:rFonts w:ascii="DecimaWE Rg" w:hAnsi="DecimaWE Rg"/>
          <w:sz w:val="18"/>
          <w:szCs w:val="18"/>
        </w:rPr>
        <w:t>occupabilità</w:t>
      </w:r>
      <w:proofErr w:type="spellEnd"/>
      <w:r w:rsidRPr="003E3F67">
        <w:rPr>
          <w:rFonts w:ascii="DecimaWE Rg" w:hAnsi="DecimaWE Rg"/>
          <w:sz w:val="18"/>
          <w:szCs w:val="18"/>
        </w:rPr>
        <w:t xml:space="preserve"> e che, sulla base di un punteggio finale, può orientare l’operatore nell’individuazione delle finalità del patto, in senso più o meno lavoristico. </w:t>
      </w:r>
    </w:p>
  </w:footnote>
  <w:footnote w:id="17">
    <w:p w:rsidR="004B2DA8" w:rsidRDefault="004B2DA8" w:rsidP="00220A42">
      <w:pPr>
        <w:pStyle w:val="Testonotaapidipagina"/>
        <w:jc w:val="both"/>
      </w:pPr>
      <w:r w:rsidRPr="003E3F67">
        <w:rPr>
          <w:rStyle w:val="Rimandonotaapidipagina"/>
          <w:rFonts w:ascii="DecimaWE Rg" w:hAnsi="DecimaWE Rg"/>
          <w:sz w:val="18"/>
          <w:szCs w:val="18"/>
        </w:rPr>
        <w:footnoteRef/>
      </w:r>
      <w:r w:rsidRPr="003E3F67">
        <w:rPr>
          <w:rFonts w:ascii="DecimaWE Rg" w:hAnsi="DecimaWE Rg"/>
          <w:sz w:val="18"/>
          <w:szCs w:val="18"/>
        </w:rPr>
        <w:t xml:space="preserve"> Per ciascun nucleo può </w:t>
      </w:r>
      <w:r w:rsidR="00454CB6">
        <w:rPr>
          <w:rFonts w:ascii="DecimaWE Rg" w:hAnsi="DecimaWE Rg"/>
          <w:sz w:val="18"/>
          <w:szCs w:val="18"/>
        </w:rPr>
        <w:t>essere presente più di un patto,</w:t>
      </w:r>
      <w:r w:rsidRPr="003E3F67">
        <w:rPr>
          <w:rFonts w:ascii="DecimaWE Rg" w:hAnsi="DecimaWE Rg"/>
          <w:sz w:val="18"/>
          <w:szCs w:val="18"/>
        </w:rPr>
        <w:t xml:space="preserve"> siglato alla presentazione della domanda di </w:t>
      </w:r>
      <w:r w:rsidR="00454CB6">
        <w:rPr>
          <w:rFonts w:ascii="DecimaWE Rg" w:hAnsi="DecimaWE Rg"/>
          <w:sz w:val="18"/>
          <w:szCs w:val="18"/>
        </w:rPr>
        <w:t>rinnovo o in caso di variazione degli obiettivi in esso contenuti</w:t>
      </w:r>
      <w:r w:rsidRPr="00982A78">
        <w:rPr>
          <w:rFonts w:ascii="DecimaWE Rg" w:hAnsi="DecimaWE Rg"/>
          <w:sz w:val="18"/>
          <w:szCs w:val="18"/>
        </w:rPr>
        <w:t>.</w:t>
      </w:r>
    </w:p>
  </w:footnote>
  <w:footnote w:id="18">
    <w:p w:rsidR="004B2DA8" w:rsidRDefault="004B2DA8" w:rsidP="001056C2">
      <w:pPr>
        <w:pStyle w:val="Testonotaapidipagina"/>
      </w:pPr>
      <w:r w:rsidRPr="000434B1">
        <w:rPr>
          <w:rStyle w:val="Rimandonotaapidipagina"/>
          <w:rFonts w:ascii="DecimaWE Rg" w:hAnsi="DecimaWE Rg"/>
          <w:sz w:val="18"/>
          <w:szCs w:val="18"/>
        </w:rPr>
        <w:footnoteRef/>
      </w:r>
      <w:r w:rsidRPr="000434B1">
        <w:rPr>
          <w:rFonts w:ascii="DecimaWE Rg" w:hAnsi="DecimaWE Rg"/>
          <w:sz w:val="18"/>
          <w:szCs w:val="18"/>
        </w:rPr>
        <w:t>Con riferimento ai patti monitorati la validazione dei</w:t>
      </w:r>
      <w:r w:rsidR="009B0091">
        <w:rPr>
          <w:rFonts w:ascii="DecimaWE Rg" w:hAnsi="DecimaWE Rg"/>
          <w:sz w:val="18"/>
          <w:szCs w:val="18"/>
        </w:rPr>
        <w:t xml:space="preserve"> CPI è richiesta per 256 </w:t>
      </w:r>
      <w:r w:rsidRPr="000434B1">
        <w:rPr>
          <w:rFonts w:ascii="DecimaWE Rg" w:hAnsi="DecimaWE Rg"/>
          <w:sz w:val="18"/>
          <w:szCs w:val="18"/>
        </w:rPr>
        <w:t>patti compless</w:t>
      </w:r>
      <w:r w:rsidR="009B0091">
        <w:rPr>
          <w:rFonts w:ascii="DecimaWE Rg" w:hAnsi="DecimaWE Rg"/>
          <w:sz w:val="18"/>
          <w:szCs w:val="18"/>
        </w:rPr>
        <w:t>ivamente, quella dei COR per 40</w:t>
      </w:r>
      <w:r w:rsidRPr="000434B1">
        <w:rPr>
          <w:rFonts w:ascii="DecimaWE Rg" w:hAnsi="DecimaWE Rg"/>
          <w:sz w:val="18"/>
          <w:szCs w:val="18"/>
        </w:rPr>
        <w:t xml:space="preserve"> patti.</w:t>
      </w:r>
    </w:p>
  </w:footnote>
  <w:footnote w:id="19">
    <w:p w:rsidR="005A0221" w:rsidRPr="008664B5" w:rsidRDefault="005A0221" w:rsidP="005A0221">
      <w:pPr>
        <w:pStyle w:val="Testonotaapidipagina"/>
        <w:jc w:val="both"/>
        <w:rPr>
          <w:rFonts w:ascii="DecimaWE Rg" w:hAnsi="DecimaWE Rg"/>
          <w:sz w:val="16"/>
          <w:szCs w:val="16"/>
        </w:rPr>
      </w:pPr>
      <w:r w:rsidRPr="008664B5">
        <w:rPr>
          <w:rStyle w:val="Rimandonotaapidipagina"/>
          <w:rFonts w:ascii="DecimaWE Rg" w:hAnsi="DecimaWE Rg"/>
          <w:sz w:val="16"/>
          <w:szCs w:val="16"/>
        </w:rPr>
        <w:footnoteRef/>
      </w:r>
      <w:r w:rsidR="00577D02">
        <w:rPr>
          <w:rFonts w:ascii="DecimaWE Rg" w:hAnsi="DecimaWE Rg"/>
          <w:sz w:val="16"/>
          <w:szCs w:val="16"/>
        </w:rPr>
        <w:t xml:space="preserve"> </w:t>
      </w:r>
      <w:r w:rsidRPr="008664B5">
        <w:rPr>
          <w:rFonts w:ascii="DecimaWE Rg" w:hAnsi="DecimaWE Rg"/>
          <w:sz w:val="16"/>
          <w:szCs w:val="16"/>
        </w:rPr>
        <w:t>Così come dichiarata all’interno della DSU-Dichiarazione sostitutiva unica ai fini ISEE. Tale dato può pert</w:t>
      </w:r>
      <w:r>
        <w:rPr>
          <w:rFonts w:ascii="DecimaWE Rg" w:hAnsi="DecimaWE Rg"/>
          <w:sz w:val="16"/>
          <w:szCs w:val="16"/>
        </w:rPr>
        <w:t>anto risultare difforme dalla reale condizione nel periodo di fruizione del beneficio</w:t>
      </w:r>
      <w:r w:rsidRPr="008664B5">
        <w:rPr>
          <w:rFonts w:ascii="DecimaWE Rg" w:hAnsi="DecimaWE Rg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C28"/>
    <w:multiLevelType w:val="hybridMultilevel"/>
    <w:tmpl w:val="85883C54"/>
    <w:lvl w:ilvl="0" w:tplc="7024A11C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F42C69"/>
    <w:multiLevelType w:val="hybridMultilevel"/>
    <w:tmpl w:val="F80EE0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631CC"/>
    <w:multiLevelType w:val="hybridMultilevel"/>
    <w:tmpl w:val="35EE3774"/>
    <w:lvl w:ilvl="0" w:tplc="7024A1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E0334"/>
    <w:multiLevelType w:val="multilevel"/>
    <w:tmpl w:val="A530AC5A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4">
    <w:nsid w:val="4C8021C7"/>
    <w:multiLevelType w:val="hybridMultilevel"/>
    <w:tmpl w:val="1D26BE42"/>
    <w:lvl w:ilvl="0" w:tplc="7024A11C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F7A6D28"/>
    <w:multiLevelType w:val="hybridMultilevel"/>
    <w:tmpl w:val="6034283A"/>
    <w:lvl w:ilvl="0" w:tplc="78B67D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762E7"/>
    <w:multiLevelType w:val="multilevel"/>
    <w:tmpl w:val="A58200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7F105DFE"/>
    <w:multiLevelType w:val="hybridMultilevel"/>
    <w:tmpl w:val="556A2552"/>
    <w:lvl w:ilvl="0" w:tplc="44642DE0"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75"/>
    <w:rsid w:val="000024FE"/>
    <w:rsid w:val="00006B0D"/>
    <w:rsid w:val="0000726E"/>
    <w:rsid w:val="00010700"/>
    <w:rsid w:val="00011624"/>
    <w:rsid w:val="00012A4D"/>
    <w:rsid w:val="0001443E"/>
    <w:rsid w:val="000149BE"/>
    <w:rsid w:val="00015FA5"/>
    <w:rsid w:val="00017EA5"/>
    <w:rsid w:val="000200DD"/>
    <w:rsid w:val="00024298"/>
    <w:rsid w:val="00025365"/>
    <w:rsid w:val="00025A11"/>
    <w:rsid w:val="00034C89"/>
    <w:rsid w:val="000400BF"/>
    <w:rsid w:val="000434B1"/>
    <w:rsid w:val="00044A9F"/>
    <w:rsid w:val="00047DE0"/>
    <w:rsid w:val="00052258"/>
    <w:rsid w:val="00053402"/>
    <w:rsid w:val="00061839"/>
    <w:rsid w:val="00063407"/>
    <w:rsid w:val="00063832"/>
    <w:rsid w:val="00066BBA"/>
    <w:rsid w:val="00066BE3"/>
    <w:rsid w:val="00075569"/>
    <w:rsid w:val="00076ACF"/>
    <w:rsid w:val="00076C0C"/>
    <w:rsid w:val="00077F82"/>
    <w:rsid w:val="0008102E"/>
    <w:rsid w:val="00081186"/>
    <w:rsid w:val="00082714"/>
    <w:rsid w:val="000836F6"/>
    <w:rsid w:val="00084273"/>
    <w:rsid w:val="00084F0A"/>
    <w:rsid w:val="000852E6"/>
    <w:rsid w:val="00085DFB"/>
    <w:rsid w:val="00086F87"/>
    <w:rsid w:val="0009174A"/>
    <w:rsid w:val="000A11C8"/>
    <w:rsid w:val="000A311E"/>
    <w:rsid w:val="000C151C"/>
    <w:rsid w:val="000C1E1C"/>
    <w:rsid w:val="000C303C"/>
    <w:rsid w:val="000D0CB2"/>
    <w:rsid w:val="000D123B"/>
    <w:rsid w:val="000D3A28"/>
    <w:rsid w:val="000D6C37"/>
    <w:rsid w:val="000E4398"/>
    <w:rsid w:val="000F0D8C"/>
    <w:rsid w:val="000F4B9A"/>
    <w:rsid w:val="00105671"/>
    <w:rsid w:val="001056C2"/>
    <w:rsid w:val="00107B45"/>
    <w:rsid w:val="00110B86"/>
    <w:rsid w:val="00110BD5"/>
    <w:rsid w:val="00112DC3"/>
    <w:rsid w:val="0012100A"/>
    <w:rsid w:val="0012247D"/>
    <w:rsid w:val="00124093"/>
    <w:rsid w:val="0012498C"/>
    <w:rsid w:val="001314A7"/>
    <w:rsid w:val="00132C4C"/>
    <w:rsid w:val="00140DCC"/>
    <w:rsid w:val="001450DA"/>
    <w:rsid w:val="00147931"/>
    <w:rsid w:val="00153295"/>
    <w:rsid w:val="00153587"/>
    <w:rsid w:val="00154910"/>
    <w:rsid w:val="00155289"/>
    <w:rsid w:val="00155772"/>
    <w:rsid w:val="0016265F"/>
    <w:rsid w:val="00162C7A"/>
    <w:rsid w:val="0016610C"/>
    <w:rsid w:val="00170882"/>
    <w:rsid w:val="00172F4A"/>
    <w:rsid w:val="001752F6"/>
    <w:rsid w:val="001776C6"/>
    <w:rsid w:val="0018280B"/>
    <w:rsid w:val="001871A9"/>
    <w:rsid w:val="00191958"/>
    <w:rsid w:val="00193C64"/>
    <w:rsid w:val="001943C4"/>
    <w:rsid w:val="00196091"/>
    <w:rsid w:val="001A29EA"/>
    <w:rsid w:val="001A38B3"/>
    <w:rsid w:val="001A3FDF"/>
    <w:rsid w:val="001A416F"/>
    <w:rsid w:val="001A5008"/>
    <w:rsid w:val="001A5BDC"/>
    <w:rsid w:val="001B1F38"/>
    <w:rsid w:val="001B3331"/>
    <w:rsid w:val="001B6D8B"/>
    <w:rsid w:val="001C22CF"/>
    <w:rsid w:val="001C2513"/>
    <w:rsid w:val="001D1844"/>
    <w:rsid w:val="001E2EB3"/>
    <w:rsid w:val="001E492B"/>
    <w:rsid w:val="001E5C1F"/>
    <w:rsid w:val="001E5DBB"/>
    <w:rsid w:val="001F0F85"/>
    <w:rsid w:val="001F1026"/>
    <w:rsid w:val="001F4788"/>
    <w:rsid w:val="001F4E2D"/>
    <w:rsid w:val="001F603D"/>
    <w:rsid w:val="002028E1"/>
    <w:rsid w:val="00205BA2"/>
    <w:rsid w:val="00206703"/>
    <w:rsid w:val="00213486"/>
    <w:rsid w:val="00214B0F"/>
    <w:rsid w:val="00217A90"/>
    <w:rsid w:val="00220A42"/>
    <w:rsid w:val="00220B28"/>
    <w:rsid w:val="00221F3E"/>
    <w:rsid w:val="00225C76"/>
    <w:rsid w:val="0022652F"/>
    <w:rsid w:val="00226C3C"/>
    <w:rsid w:val="00227944"/>
    <w:rsid w:val="00227B75"/>
    <w:rsid w:val="00232931"/>
    <w:rsid w:val="002338D1"/>
    <w:rsid w:val="00235D30"/>
    <w:rsid w:val="002414B9"/>
    <w:rsid w:val="002430BD"/>
    <w:rsid w:val="00245E00"/>
    <w:rsid w:val="00247CE9"/>
    <w:rsid w:val="00252804"/>
    <w:rsid w:val="002566F2"/>
    <w:rsid w:val="00256746"/>
    <w:rsid w:val="00257E55"/>
    <w:rsid w:val="002618BB"/>
    <w:rsid w:val="0026288A"/>
    <w:rsid w:val="00267BF9"/>
    <w:rsid w:val="00267DCC"/>
    <w:rsid w:val="0027071D"/>
    <w:rsid w:val="00271CD0"/>
    <w:rsid w:val="00276722"/>
    <w:rsid w:val="002836D3"/>
    <w:rsid w:val="002863A6"/>
    <w:rsid w:val="00287B63"/>
    <w:rsid w:val="00291E2E"/>
    <w:rsid w:val="002920B9"/>
    <w:rsid w:val="002938CB"/>
    <w:rsid w:val="00295860"/>
    <w:rsid w:val="002967A3"/>
    <w:rsid w:val="00296D46"/>
    <w:rsid w:val="002A0024"/>
    <w:rsid w:val="002A1E2C"/>
    <w:rsid w:val="002B3E08"/>
    <w:rsid w:val="002B41A6"/>
    <w:rsid w:val="002B48A0"/>
    <w:rsid w:val="002B4F0B"/>
    <w:rsid w:val="002B5714"/>
    <w:rsid w:val="002C2EE7"/>
    <w:rsid w:val="002D0BCF"/>
    <w:rsid w:val="002D0CB2"/>
    <w:rsid w:val="002D3B7D"/>
    <w:rsid w:val="002D46F3"/>
    <w:rsid w:val="002D7123"/>
    <w:rsid w:val="002E07EE"/>
    <w:rsid w:val="002E158E"/>
    <w:rsid w:val="002F626F"/>
    <w:rsid w:val="002F6F8A"/>
    <w:rsid w:val="0030102B"/>
    <w:rsid w:val="00302114"/>
    <w:rsid w:val="003024F8"/>
    <w:rsid w:val="00302570"/>
    <w:rsid w:val="00303928"/>
    <w:rsid w:val="00307EC3"/>
    <w:rsid w:val="00311C48"/>
    <w:rsid w:val="00314856"/>
    <w:rsid w:val="00314D70"/>
    <w:rsid w:val="00323DBD"/>
    <w:rsid w:val="00327A25"/>
    <w:rsid w:val="003335A9"/>
    <w:rsid w:val="0033473A"/>
    <w:rsid w:val="0033759E"/>
    <w:rsid w:val="00340379"/>
    <w:rsid w:val="00343770"/>
    <w:rsid w:val="00344A13"/>
    <w:rsid w:val="00353429"/>
    <w:rsid w:val="00355278"/>
    <w:rsid w:val="00355451"/>
    <w:rsid w:val="00355F02"/>
    <w:rsid w:val="00365D1A"/>
    <w:rsid w:val="00370294"/>
    <w:rsid w:val="0037154F"/>
    <w:rsid w:val="0037420D"/>
    <w:rsid w:val="0037678B"/>
    <w:rsid w:val="00381159"/>
    <w:rsid w:val="0038465E"/>
    <w:rsid w:val="00384E88"/>
    <w:rsid w:val="00384EB8"/>
    <w:rsid w:val="00385907"/>
    <w:rsid w:val="00385A19"/>
    <w:rsid w:val="003863F1"/>
    <w:rsid w:val="00391D39"/>
    <w:rsid w:val="00392E8D"/>
    <w:rsid w:val="003951B9"/>
    <w:rsid w:val="00396976"/>
    <w:rsid w:val="003973ED"/>
    <w:rsid w:val="003A3635"/>
    <w:rsid w:val="003A7194"/>
    <w:rsid w:val="003B16C3"/>
    <w:rsid w:val="003B515C"/>
    <w:rsid w:val="003B5952"/>
    <w:rsid w:val="003B6A3B"/>
    <w:rsid w:val="003C1EF7"/>
    <w:rsid w:val="003C6CFA"/>
    <w:rsid w:val="003C6E0E"/>
    <w:rsid w:val="003C7C02"/>
    <w:rsid w:val="003D19D3"/>
    <w:rsid w:val="003D4DEC"/>
    <w:rsid w:val="003D721C"/>
    <w:rsid w:val="003E11DF"/>
    <w:rsid w:val="003E1BE2"/>
    <w:rsid w:val="003E34B3"/>
    <w:rsid w:val="003E3F67"/>
    <w:rsid w:val="003F2BDA"/>
    <w:rsid w:val="003F5D56"/>
    <w:rsid w:val="003F6DE7"/>
    <w:rsid w:val="00401D80"/>
    <w:rsid w:val="0040294D"/>
    <w:rsid w:val="00403636"/>
    <w:rsid w:val="004063BC"/>
    <w:rsid w:val="00406BB6"/>
    <w:rsid w:val="00406E15"/>
    <w:rsid w:val="00417884"/>
    <w:rsid w:val="00420931"/>
    <w:rsid w:val="00422BDA"/>
    <w:rsid w:val="00425A98"/>
    <w:rsid w:val="004314B8"/>
    <w:rsid w:val="00432D67"/>
    <w:rsid w:val="00434F43"/>
    <w:rsid w:val="00440C23"/>
    <w:rsid w:val="00442F28"/>
    <w:rsid w:val="00443A5A"/>
    <w:rsid w:val="00444C78"/>
    <w:rsid w:val="004469BC"/>
    <w:rsid w:val="004529E3"/>
    <w:rsid w:val="00454332"/>
    <w:rsid w:val="00454CB6"/>
    <w:rsid w:val="004631E9"/>
    <w:rsid w:val="0046622C"/>
    <w:rsid w:val="004663F3"/>
    <w:rsid w:val="0046791A"/>
    <w:rsid w:val="0047073A"/>
    <w:rsid w:val="00471ACF"/>
    <w:rsid w:val="00472C84"/>
    <w:rsid w:val="004756DE"/>
    <w:rsid w:val="004768CE"/>
    <w:rsid w:val="004771DD"/>
    <w:rsid w:val="00481869"/>
    <w:rsid w:val="00494EC3"/>
    <w:rsid w:val="0049536C"/>
    <w:rsid w:val="004A0AD8"/>
    <w:rsid w:val="004A1438"/>
    <w:rsid w:val="004A188A"/>
    <w:rsid w:val="004A3A9C"/>
    <w:rsid w:val="004A4157"/>
    <w:rsid w:val="004A5EE1"/>
    <w:rsid w:val="004B128E"/>
    <w:rsid w:val="004B28B3"/>
    <w:rsid w:val="004B2BCF"/>
    <w:rsid w:val="004B2DA8"/>
    <w:rsid w:val="004B4DC9"/>
    <w:rsid w:val="004B5BEF"/>
    <w:rsid w:val="004B5FD3"/>
    <w:rsid w:val="004B7387"/>
    <w:rsid w:val="004C0665"/>
    <w:rsid w:val="004C0D94"/>
    <w:rsid w:val="004C1668"/>
    <w:rsid w:val="004C245D"/>
    <w:rsid w:val="004C4797"/>
    <w:rsid w:val="004C6AEA"/>
    <w:rsid w:val="004D06FE"/>
    <w:rsid w:val="004D1E2A"/>
    <w:rsid w:val="004D28E3"/>
    <w:rsid w:val="004D391B"/>
    <w:rsid w:val="004D5438"/>
    <w:rsid w:val="004D6D8E"/>
    <w:rsid w:val="004D7C46"/>
    <w:rsid w:val="004E0904"/>
    <w:rsid w:val="004E3827"/>
    <w:rsid w:val="004E4A7F"/>
    <w:rsid w:val="004E5871"/>
    <w:rsid w:val="004F1783"/>
    <w:rsid w:val="004F2461"/>
    <w:rsid w:val="004F280B"/>
    <w:rsid w:val="004F3A46"/>
    <w:rsid w:val="004F3FC5"/>
    <w:rsid w:val="004F6EE5"/>
    <w:rsid w:val="0050060D"/>
    <w:rsid w:val="00502925"/>
    <w:rsid w:val="00510896"/>
    <w:rsid w:val="00511902"/>
    <w:rsid w:val="005144FE"/>
    <w:rsid w:val="0051632C"/>
    <w:rsid w:val="0051691A"/>
    <w:rsid w:val="00520295"/>
    <w:rsid w:val="00522728"/>
    <w:rsid w:val="00522AD5"/>
    <w:rsid w:val="005245EB"/>
    <w:rsid w:val="00524792"/>
    <w:rsid w:val="00525562"/>
    <w:rsid w:val="00532240"/>
    <w:rsid w:val="00533DB5"/>
    <w:rsid w:val="00534D68"/>
    <w:rsid w:val="00540D55"/>
    <w:rsid w:val="0054129D"/>
    <w:rsid w:val="005431F4"/>
    <w:rsid w:val="0054402C"/>
    <w:rsid w:val="00546EC4"/>
    <w:rsid w:val="00550FAE"/>
    <w:rsid w:val="00551504"/>
    <w:rsid w:val="005535A0"/>
    <w:rsid w:val="00554BBE"/>
    <w:rsid w:val="00555955"/>
    <w:rsid w:val="005566BC"/>
    <w:rsid w:val="00557B24"/>
    <w:rsid w:val="00560420"/>
    <w:rsid w:val="005614DD"/>
    <w:rsid w:val="00562EA6"/>
    <w:rsid w:val="00563951"/>
    <w:rsid w:val="00563B3E"/>
    <w:rsid w:val="00563CC2"/>
    <w:rsid w:val="00566BDF"/>
    <w:rsid w:val="005705F4"/>
    <w:rsid w:val="0057094F"/>
    <w:rsid w:val="00571D4D"/>
    <w:rsid w:val="005737A1"/>
    <w:rsid w:val="0057555C"/>
    <w:rsid w:val="00577D02"/>
    <w:rsid w:val="00577ED6"/>
    <w:rsid w:val="00580DCB"/>
    <w:rsid w:val="0058187B"/>
    <w:rsid w:val="00582CB5"/>
    <w:rsid w:val="00584CBD"/>
    <w:rsid w:val="00587AC8"/>
    <w:rsid w:val="005907F3"/>
    <w:rsid w:val="00591B34"/>
    <w:rsid w:val="00595DC7"/>
    <w:rsid w:val="00596483"/>
    <w:rsid w:val="005971AF"/>
    <w:rsid w:val="005A0221"/>
    <w:rsid w:val="005A0A75"/>
    <w:rsid w:val="005A2A42"/>
    <w:rsid w:val="005B1E37"/>
    <w:rsid w:val="005B3254"/>
    <w:rsid w:val="005B720B"/>
    <w:rsid w:val="005B7C48"/>
    <w:rsid w:val="005C09EC"/>
    <w:rsid w:val="005C0A3B"/>
    <w:rsid w:val="005C4F7F"/>
    <w:rsid w:val="005C4FCA"/>
    <w:rsid w:val="005C5447"/>
    <w:rsid w:val="005C572A"/>
    <w:rsid w:val="005D39FF"/>
    <w:rsid w:val="005D5449"/>
    <w:rsid w:val="005D6690"/>
    <w:rsid w:val="005D7842"/>
    <w:rsid w:val="005E03BA"/>
    <w:rsid w:val="005E15BD"/>
    <w:rsid w:val="005E1752"/>
    <w:rsid w:val="005E5F0A"/>
    <w:rsid w:val="005E6902"/>
    <w:rsid w:val="005E697D"/>
    <w:rsid w:val="005E740E"/>
    <w:rsid w:val="005E7F3F"/>
    <w:rsid w:val="005F116F"/>
    <w:rsid w:val="005F294C"/>
    <w:rsid w:val="005F2FA7"/>
    <w:rsid w:val="005F456B"/>
    <w:rsid w:val="005F4AD0"/>
    <w:rsid w:val="005F6C9B"/>
    <w:rsid w:val="00603716"/>
    <w:rsid w:val="006127A4"/>
    <w:rsid w:val="006130BE"/>
    <w:rsid w:val="006150D5"/>
    <w:rsid w:val="006161CD"/>
    <w:rsid w:val="00616A62"/>
    <w:rsid w:val="00620847"/>
    <w:rsid w:val="006237BA"/>
    <w:rsid w:val="00625597"/>
    <w:rsid w:val="006257A3"/>
    <w:rsid w:val="00625E89"/>
    <w:rsid w:val="00626BB0"/>
    <w:rsid w:val="0063076C"/>
    <w:rsid w:val="0063436D"/>
    <w:rsid w:val="00640180"/>
    <w:rsid w:val="00640D71"/>
    <w:rsid w:val="006412F4"/>
    <w:rsid w:val="0064438C"/>
    <w:rsid w:val="00644796"/>
    <w:rsid w:val="00647C33"/>
    <w:rsid w:val="0065259E"/>
    <w:rsid w:val="00657402"/>
    <w:rsid w:val="006662A8"/>
    <w:rsid w:val="00667C26"/>
    <w:rsid w:val="00681D4B"/>
    <w:rsid w:val="00681FA8"/>
    <w:rsid w:val="00682EAA"/>
    <w:rsid w:val="006841A5"/>
    <w:rsid w:val="006940C2"/>
    <w:rsid w:val="00695323"/>
    <w:rsid w:val="00695A1A"/>
    <w:rsid w:val="006A0099"/>
    <w:rsid w:val="006A4285"/>
    <w:rsid w:val="006A69C3"/>
    <w:rsid w:val="006B533F"/>
    <w:rsid w:val="006C5474"/>
    <w:rsid w:val="006D0556"/>
    <w:rsid w:val="006D0BD4"/>
    <w:rsid w:val="006D2770"/>
    <w:rsid w:val="006D436A"/>
    <w:rsid w:val="006D4490"/>
    <w:rsid w:val="006D46B2"/>
    <w:rsid w:val="006D5249"/>
    <w:rsid w:val="006D7156"/>
    <w:rsid w:val="006E4F7E"/>
    <w:rsid w:val="006E6210"/>
    <w:rsid w:val="006E68BC"/>
    <w:rsid w:val="006F1199"/>
    <w:rsid w:val="00701DD8"/>
    <w:rsid w:val="00703867"/>
    <w:rsid w:val="007104C1"/>
    <w:rsid w:val="00712226"/>
    <w:rsid w:val="0071304B"/>
    <w:rsid w:val="00716AF3"/>
    <w:rsid w:val="0072272D"/>
    <w:rsid w:val="007252E9"/>
    <w:rsid w:val="0072680F"/>
    <w:rsid w:val="0073014C"/>
    <w:rsid w:val="00732876"/>
    <w:rsid w:val="00736D79"/>
    <w:rsid w:val="00737BDB"/>
    <w:rsid w:val="00740B90"/>
    <w:rsid w:val="00740BD2"/>
    <w:rsid w:val="00742BD3"/>
    <w:rsid w:val="00744546"/>
    <w:rsid w:val="007459CC"/>
    <w:rsid w:val="00747A1A"/>
    <w:rsid w:val="00752692"/>
    <w:rsid w:val="00756655"/>
    <w:rsid w:val="00760098"/>
    <w:rsid w:val="00762902"/>
    <w:rsid w:val="00770249"/>
    <w:rsid w:val="0077740F"/>
    <w:rsid w:val="00780F42"/>
    <w:rsid w:val="007862EF"/>
    <w:rsid w:val="00790321"/>
    <w:rsid w:val="00793DBD"/>
    <w:rsid w:val="007951AE"/>
    <w:rsid w:val="007A1EB5"/>
    <w:rsid w:val="007A2487"/>
    <w:rsid w:val="007A5052"/>
    <w:rsid w:val="007A6162"/>
    <w:rsid w:val="007B351F"/>
    <w:rsid w:val="007C0EA2"/>
    <w:rsid w:val="007C1FA2"/>
    <w:rsid w:val="007C7A39"/>
    <w:rsid w:val="007D09DF"/>
    <w:rsid w:val="007D554C"/>
    <w:rsid w:val="007D57B9"/>
    <w:rsid w:val="007D691B"/>
    <w:rsid w:val="007E1463"/>
    <w:rsid w:val="007E2811"/>
    <w:rsid w:val="007E3D0B"/>
    <w:rsid w:val="007E61E8"/>
    <w:rsid w:val="007F1543"/>
    <w:rsid w:val="007F1CFB"/>
    <w:rsid w:val="007F3936"/>
    <w:rsid w:val="007F4789"/>
    <w:rsid w:val="007F4948"/>
    <w:rsid w:val="007F706B"/>
    <w:rsid w:val="007F7343"/>
    <w:rsid w:val="00800221"/>
    <w:rsid w:val="00802794"/>
    <w:rsid w:val="00805BE0"/>
    <w:rsid w:val="00806392"/>
    <w:rsid w:val="00810F2D"/>
    <w:rsid w:val="0081223E"/>
    <w:rsid w:val="00813A42"/>
    <w:rsid w:val="00813ED9"/>
    <w:rsid w:val="00814035"/>
    <w:rsid w:val="008216CC"/>
    <w:rsid w:val="00822A0A"/>
    <w:rsid w:val="00824484"/>
    <w:rsid w:val="00831C6F"/>
    <w:rsid w:val="0083206C"/>
    <w:rsid w:val="00833239"/>
    <w:rsid w:val="0083391F"/>
    <w:rsid w:val="00840EDF"/>
    <w:rsid w:val="00842C0C"/>
    <w:rsid w:val="00842F22"/>
    <w:rsid w:val="0084536E"/>
    <w:rsid w:val="008476EE"/>
    <w:rsid w:val="00847701"/>
    <w:rsid w:val="00851D71"/>
    <w:rsid w:val="00852256"/>
    <w:rsid w:val="0085395B"/>
    <w:rsid w:val="00853CB5"/>
    <w:rsid w:val="0085408A"/>
    <w:rsid w:val="0085535F"/>
    <w:rsid w:val="0085721A"/>
    <w:rsid w:val="0086280E"/>
    <w:rsid w:val="00863A32"/>
    <w:rsid w:val="00863E7C"/>
    <w:rsid w:val="00864143"/>
    <w:rsid w:val="008641F5"/>
    <w:rsid w:val="00864514"/>
    <w:rsid w:val="008645F8"/>
    <w:rsid w:val="00874B0F"/>
    <w:rsid w:val="0087555F"/>
    <w:rsid w:val="00875866"/>
    <w:rsid w:val="00875CEC"/>
    <w:rsid w:val="00880672"/>
    <w:rsid w:val="00885360"/>
    <w:rsid w:val="00890D37"/>
    <w:rsid w:val="008A1AAF"/>
    <w:rsid w:val="008A3122"/>
    <w:rsid w:val="008A3839"/>
    <w:rsid w:val="008B1ABE"/>
    <w:rsid w:val="008B46AC"/>
    <w:rsid w:val="008B65BC"/>
    <w:rsid w:val="008B6D13"/>
    <w:rsid w:val="008B7715"/>
    <w:rsid w:val="008B785E"/>
    <w:rsid w:val="008B7A96"/>
    <w:rsid w:val="008B7C20"/>
    <w:rsid w:val="008C1418"/>
    <w:rsid w:val="008C2A61"/>
    <w:rsid w:val="008C3EED"/>
    <w:rsid w:val="008C4E3F"/>
    <w:rsid w:val="008C77B8"/>
    <w:rsid w:val="008D2F7F"/>
    <w:rsid w:val="008D6440"/>
    <w:rsid w:val="008E4989"/>
    <w:rsid w:val="008E67FD"/>
    <w:rsid w:val="008F127C"/>
    <w:rsid w:val="008F140A"/>
    <w:rsid w:val="009003D6"/>
    <w:rsid w:val="0090110D"/>
    <w:rsid w:val="0090317A"/>
    <w:rsid w:val="00905304"/>
    <w:rsid w:val="00905D34"/>
    <w:rsid w:val="00906778"/>
    <w:rsid w:val="009111D0"/>
    <w:rsid w:val="00914DF6"/>
    <w:rsid w:val="009152BF"/>
    <w:rsid w:val="00917EF7"/>
    <w:rsid w:val="00920465"/>
    <w:rsid w:val="00921B55"/>
    <w:rsid w:val="0092610F"/>
    <w:rsid w:val="00926F23"/>
    <w:rsid w:val="00934775"/>
    <w:rsid w:val="00936226"/>
    <w:rsid w:val="0093777C"/>
    <w:rsid w:val="00937855"/>
    <w:rsid w:val="00940F5A"/>
    <w:rsid w:val="009448D1"/>
    <w:rsid w:val="00945042"/>
    <w:rsid w:val="0094643A"/>
    <w:rsid w:val="00946EE2"/>
    <w:rsid w:val="009528DF"/>
    <w:rsid w:val="00953809"/>
    <w:rsid w:val="009554ED"/>
    <w:rsid w:val="00957C3B"/>
    <w:rsid w:val="00961A53"/>
    <w:rsid w:val="00965220"/>
    <w:rsid w:val="00965354"/>
    <w:rsid w:val="009658F3"/>
    <w:rsid w:val="00965FF2"/>
    <w:rsid w:val="00967BDE"/>
    <w:rsid w:val="00967EDD"/>
    <w:rsid w:val="009717AC"/>
    <w:rsid w:val="00973C3E"/>
    <w:rsid w:val="009824C6"/>
    <w:rsid w:val="00982A78"/>
    <w:rsid w:val="0098420A"/>
    <w:rsid w:val="0098479C"/>
    <w:rsid w:val="009913A5"/>
    <w:rsid w:val="00992C41"/>
    <w:rsid w:val="009965A3"/>
    <w:rsid w:val="00996961"/>
    <w:rsid w:val="009A280A"/>
    <w:rsid w:val="009A404C"/>
    <w:rsid w:val="009A6C92"/>
    <w:rsid w:val="009A7F7B"/>
    <w:rsid w:val="009B0091"/>
    <w:rsid w:val="009B74D0"/>
    <w:rsid w:val="009C0AF2"/>
    <w:rsid w:val="009C45DD"/>
    <w:rsid w:val="009C7637"/>
    <w:rsid w:val="009D2CD4"/>
    <w:rsid w:val="009D7844"/>
    <w:rsid w:val="009E02D7"/>
    <w:rsid w:val="009E2DF2"/>
    <w:rsid w:val="009F2EA5"/>
    <w:rsid w:val="009F2FFC"/>
    <w:rsid w:val="009F3604"/>
    <w:rsid w:val="009F6CA2"/>
    <w:rsid w:val="00A01DA2"/>
    <w:rsid w:val="00A07544"/>
    <w:rsid w:val="00A12B82"/>
    <w:rsid w:val="00A12FE9"/>
    <w:rsid w:val="00A14CB0"/>
    <w:rsid w:val="00A262C7"/>
    <w:rsid w:val="00A2701D"/>
    <w:rsid w:val="00A34F56"/>
    <w:rsid w:val="00A4141B"/>
    <w:rsid w:val="00A428B5"/>
    <w:rsid w:val="00A44730"/>
    <w:rsid w:val="00A45C34"/>
    <w:rsid w:val="00A45F48"/>
    <w:rsid w:val="00A467B6"/>
    <w:rsid w:val="00A51091"/>
    <w:rsid w:val="00A5337D"/>
    <w:rsid w:val="00A555C6"/>
    <w:rsid w:val="00A5598E"/>
    <w:rsid w:val="00A55E32"/>
    <w:rsid w:val="00A60E58"/>
    <w:rsid w:val="00A67AEB"/>
    <w:rsid w:val="00A70507"/>
    <w:rsid w:val="00A70926"/>
    <w:rsid w:val="00A71B66"/>
    <w:rsid w:val="00A71CCE"/>
    <w:rsid w:val="00A777B5"/>
    <w:rsid w:val="00A81458"/>
    <w:rsid w:val="00A87E4C"/>
    <w:rsid w:val="00A9168F"/>
    <w:rsid w:val="00A97046"/>
    <w:rsid w:val="00A97357"/>
    <w:rsid w:val="00AA04E4"/>
    <w:rsid w:val="00AA2F3A"/>
    <w:rsid w:val="00AA40FA"/>
    <w:rsid w:val="00AA686D"/>
    <w:rsid w:val="00AA7B58"/>
    <w:rsid w:val="00AB1688"/>
    <w:rsid w:val="00AB4C0C"/>
    <w:rsid w:val="00AB6ED7"/>
    <w:rsid w:val="00AC20A8"/>
    <w:rsid w:val="00AC37CD"/>
    <w:rsid w:val="00AD102F"/>
    <w:rsid w:val="00AD591C"/>
    <w:rsid w:val="00AE22B1"/>
    <w:rsid w:val="00AE3010"/>
    <w:rsid w:val="00AE392B"/>
    <w:rsid w:val="00AF1E01"/>
    <w:rsid w:val="00AF2D95"/>
    <w:rsid w:val="00AF7014"/>
    <w:rsid w:val="00B05A91"/>
    <w:rsid w:val="00B062D3"/>
    <w:rsid w:val="00B0780A"/>
    <w:rsid w:val="00B137F5"/>
    <w:rsid w:val="00B14804"/>
    <w:rsid w:val="00B151F0"/>
    <w:rsid w:val="00B24535"/>
    <w:rsid w:val="00B24D88"/>
    <w:rsid w:val="00B2552D"/>
    <w:rsid w:val="00B2718E"/>
    <w:rsid w:val="00B30F02"/>
    <w:rsid w:val="00B3211B"/>
    <w:rsid w:val="00B3393E"/>
    <w:rsid w:val="00B341DC"/>
    <w:rsid w:val="00B34AD4"/>
    <w:rsid w:val="00B358C3"/>
    <w:rsid w:val="00B43A63"/>
    <w:rsid w:val="00B51603"/>
    <w:rsid w:val="00B5354E"/>
    <w:rsid w:val="00B55ED4"/>
    <w:rsid w:val="00B61E1E"/>
    <w:rsid w:val="00B6408F"/>
    <w:rsid w:val="00B64C6A"/>
    <w:rsid w:val="00B705C2"/>
    <w:rsid w:val="00B738CB"/>
    <w:rsid w:val="00B76D9E"/>
    <w:rsid w:val="00B7734C"/>
    <w:rsid w:val="00B77B1D"/>
    <w:rsid w:val="00B82284"/>
    <w:rsid w:val="00B918AB"/>
    <w:rsid w:val="00B93779"/>
    <w:rsid w:val="00B955E9"/>
    <w:rsid w:val="00B96A9C"/>
    <w:rsid w:val="00BA22FF"/>
    <w:rsid w:val="00BA3F65"/>
    <w:rsid w:val="00BA421B"/>
    <w:rsid w:val="00BA792C"/>
    <w:rsid w:val="00BB0BC4"/>
    <w:rsid w:val="00BB195F"/>
    <w:rsid w:val="00BB43DF"/>
    <w:rsid w:val="00BB58AA"/>
    <w:rsid w:val="00BB5CB9"/>
    <w:rsid w:val="00BB6F28"/>
    <w:rsid w:val="00BC23E2"/>
    <w:rsid w:val="00BC3ED1"/>
    <w:rsid w:val="00BC4644"/>
    <w:rsid w:val="00BC4D8A"/>
    <w:rsid w:val="00BD0351"/>
    <w:rsid w:val="00BD583F"/>
    <w:rsid w:val="00BE0B1D"/>
    <w:rsid w:val="00BE16D9"/>
    <w:rsid w:val="00BE2039"/>
    <w:rsid w:val="00BE6A71"/>
    <w:rsid w:val="00BF30DC"/>
    <w:rsid w:val="00BF3BAD"/>
    <w:rsid w:val="00C012F4"/>
    <w:rsid w:val="00C1329B"/>
    <w:rsid w:val="00C13717"/>
    <w:rsid w:val="00C16AC1"/>
    <w:rsid w:val="00C20076"/>
    <w:rsid w:val="00C232A1"/>
    <w:rsid w:val="00C27F80"/>
    <w:rsid w:val="00C30F1F"/>
    <w:rsid w:val="00C31B10"/>
    <w:rsid w:val="00C328BE"/>
    <w:rsid w:val="00C3454E"/>
    <w:rsid w:val="00C35D8A"/>
    <w:rsid w:val="00C36FDB"/>
    <w:rsid w:val="00C4069C"/>
    <w:rsid w:val="00C4401F"/>
    <w:rsid w:val="00C45B97"/>
    <w:rsid w:val="00C4794D"/>
    <w:rsid w:val="00C47E4C"/>
    <w:rsid w:val="00C51189"/>
    <w:rsid w:val="00C51CCD"/>
    <w:rsid w:val="00C55EDC"/>
    <w:rsid w:val="00C56B39"/>
    <w:rsid w:val="00C61BD2"/>
    <w:rsid w:val="00C6271A"/>
    <w:rsid w:val="00C66D1F"/>
    <w:rsid w:val="00C679CF"/>
    <w:rsid w:val="00C718D9"/>
    <w:rsid w:val="00C7296F"/>
    <w:rsid w:val="00C73B2E"/>
    <w:rsid w:val="00C74409"/>
    <w:rsid w:val="00C74CC2"/>
    <w:rsid w:val="00C76D04"/>
    <w:rsid w:val="00C77B90"/>
    <w:rsid w:val="00C81CD2"/>
    <w:rsid w:val="00C857FA"/>
    <w:rsid w:val="00C90378"/>
    <w:rsid w:val="00C92994"/>
    <w:rsid w:val="00CA0B62"/>
    <w:rsid w:val="00CA3D44"/>
    <w:rsid w:val="00CA47CE"/>
    <w:rsid w:val="00CA68BE"/>
    <w:rsid w:val="00CC0059"/>
    <w:rsid w:val="00CC4EBF"/>
    <w:rsid w:val="00CD14E7"/>
    <w:rsid w:val="00CF006B"/>
    <w:rsid w:val="00D03EB0"/>
    <w:rsid w:val="00D044CF"/>
    <w:rsid w:val="00D07C87"/>
    <w:rsid w:val="00D115C7"/>
    <w:rsid w:val="00D20098"/>
    <w:rsid w:val="00D21ABC"/>
    <w:rsid w:val="00D2373E"/>
    <w:rsid w:val="00D25502"/>
    <w:rsid w:val="00D26515"/>
    <w:rsid w:val="00D27536"/>
    <w:rsid w:val="00D27AA0"/>
    <w:rsid w:val="00D41169"/>
    <w:rsid w:val="00D411C6"/>
    <w:rsid w:val="00D4264E"/>
    <w:rsid w:val="00D52FED"/>
    <w:rsid w:val="00D561A9"/>
    <w:rsid w:val="00D63451"/>
    <w:rsid w:val="00D636F6"/>
    <w:rsid w:val="00D66BDF"/>
    <w:rsid w:val="00D71038"/>
    <w:rsid w:val="00D74789"/>
    <w:rsid w:val="00D76470"/>
    <w:rsid w:val="00D806F9"/>
    <w:rsid w:val="00D80C03"/>
    <w:rsid w:val="00D81539"/>
    <w:rsid w:val="00D83352"/>
    <w:rsid w:val="00D83542"/>
    <w:rsid w:val="00D842E0"/>
    <w:rsid w:val="00D8548D"/>
    <w:rsid w:val="00D867A0"/>
    <w:rsid w:val="00D872F8"/>
    <w:rsid w:val="00D91FCB"/>
    <w:rsid w:val="00D921A6"/>
    <w:rsid w:val="00D978D9"/>
    <w:rsid w:val="00DA1CE0"/>
    <w:rsid w:val="00DA37E1"/>
    <w:rsid w:val="00DA3F5E"/>
    <w:rsid w:val="00DB18EA"/>
    <w:rsid w:val="00DB2B10"/>
    <w:rsid w:val="00DB7345"/>
    <w:rsid w:val="00DC1E55"/>
    <w:rsid w:val="00DC1EBD"/>
    <w:rsid w:val="00DC2736"/>
    <w:rsid w:val="00DC4A53"/>
    <w:rsid w:val="00DD385B"/>
    <w:rsid w:val="00DD3F56"/>
    <w:rsid w:val="00DD66DB"/>
    <w:rsid w:val="00DE1025"/>
    <w:rsid w:val="00DE5A1E"/>
    <w:rsid w:val="00DF219C"/>
    <w:rsid w:val="00DF23C0"/>
    <w:rsid w:val="00DF26D0"/>
    <w:rsid w:val="00DF4F32"/>
    <w:rsid w:val="00DF6F7C"/>
    <w:rsid w:val="00DF7BDF"/>
    <w:rsid w:val="00E01175"/>
    <w:rsid w:val="00E01F94"/>
    <w:rsid w:val="00E05932"/>
    <w:rsid w:val="00E06C95"/>
    <w:rsid w:val="00E0729B"/>
    <w:rsid w:val="00E07566"/>
    <w:rsid w:val="00E12FC9"/>
    <w:rsid w:val="00E14F1C"/>
    <w:rsid w:val="00E2214F"/>
    <w:rsid w:val="00E23368"/>
    <w:rsid w:val="00E237E4"/>
    <w:rsid w:val="00E237F4"/>
    <w:rsid w:val="00E23CC4"/>
    <w:rsid w:val="00E37449"/>
    <w:rsid w:val="00E37D84"/>
    <w:rsid w:val="00E4093A"/>
    <w:rsid w:val="00E40C59"/>
    <w:rsid w:val="00E40D22"/>
    <w:rsid w:val="00E42191"/>
    <w:rsid w:val="00E459D7"/>
    <w:rsid w:val="00E46247"/>
    <w:rsid w:val="00E51A14"/>
    <w:rsid w:val="00E52171"/>
    <w:rsid w:val="00E531F4"/>
    <w:rsid w:val="00E61691"/>
    <w:rsid w:val="00E62599"/>
    <w:rsid w:val="00E630F9"/>
    <w:rsid w:val="00E633EA"/>
    <w:rsid w:val="00E636EC"/>
    <w:rsid w:val="00E63795"/>
    <w:rsid w:val="00E64922"/>
    <w:rsid w:val="00E703FF"/>
    <w:rsid w:val="00E72780"/>
    <w:rsid w:val="00E74313"/>
    <w:rsid w:val="00E77BDD"/>
    <w:rsid w:val="00E85D36"/>
    <w:rsid w:val="00E90102"/>
    <w:rsid w:val="00E921AB"/>
    <w:rsid w:val="00E9349E"/>
    <w:rsid w:val="00E93E5E"/>
    <w:rsid w:val="00E94D78"/>
    <w:rsid w:val="00E961EA"/>
    <w:rsid w:val="00E97248"/>
    <w:rsid w:val="00EA5F24"/>
    <w:rsid w:val="00EA7789"/>
    <w:rsid w:val="00EB430F"/>
    <w:rsid w:val="00EB4D5E"/>
    <w:rsid w:val="00EB4F96"/>
    <w:rsid w:val="00EC0E9F"/>
    <w:rsid w:val="00EC1F4B"/>
    <w:rsid w:val="00EC275F"/>
    <w:rsid w:val="00EC2880"/>
    <w:rsid w:val="00ED0B1B"/>
    <w:rsid w:val="00ED0CA5"/>
    <w:rsid w:val="00ED2397"/>
    <w:rsid w:val="00ED2E71"/>
    <w:rsid w:val="00ED355D"/>
    <w:rsid w:val="00ED4C84"/>
    <w:rsid w:val="00ED722F"/>
    <w:rsid w:val="00ED73ED"/>
    <w:rsid w:val="00EE4C01"/>
    <w:rsid w:val="00EE5787"/>
    <w:rsid w:val="00EE6D08"/>
    <w:rsid w:val="00EF17A2"/>
    <w:rsid w:val="00EF3538"/>
    <w:rsid w:val="00EF57D7"/>
    <w:rsid w:val="00EF6A5C"/>
    <w:rsid w:val="00EF7AE2"/>
    <w:rsid w:val="00F028D2"/>
    <w:rsid w:val="00F03EB3"/>
    <w:rsid w:val="00F110F7"/>
    <w:rsid w:val="00F13189"/>
    <w:rsid w:val="00F135D1"/>
    <w:rsid w:val="00F13C9C"/>
    <w:rsid w:val="00F1410A"/>
    <w:rsid w:val="00F14643"/>
    <w:rsid w:val="00F2725B"/>
    <w:rsid w:val="00F2754E"/>
    <w:rsid w:val="00F30BAD"/>
    <w:rsid w:val="00F34037"/>
    <w:rsid w:val="00F40118"/>
    <w:rsid w:val="00F41B66"/>
    <w:rsid w:val="00F557A1"/>
    <w:rsid w:val="00F60D7C"/>
    <w:rsid w:val="00F64839"/>
    <w:rsid w:val="00F81632"/>
    <w:rsid w:val="00F84524"/>
    <w:rsid w:val="00F84FB4"/>
    <w:rsid w:val="00F8708E"/>
    <w:rsid w:val="00F95650"/>
    <w:rsid w:val="00F97FD4"/>
    <w:rsid w:val="00FA2B74"/>
    <w:rsid w:val="00FA76E1"/>
    <w:rsid w:val="00FA7AAF"/>
    <w:rsid w:val="00FB2C90"/>
    <w:rsid w:val="00FB3380"/>
    <w:rsid w:val="00FB4539"/>
    <w:rsid w:val="00FB642C"/>
    <w:rsid w:val="00FB71FA"/>
    <w:rsid w:val="00FC1842"/>
    <w:rsid w:val="00FC3621"/>
    <w:rsid w:val="00FC37A7"/>
    <w:rsid w:val="00FC54B3"/>
    <w:rsid w:val="00FD42D5"/>
    <w:rsid w:val="00FD44BA"/>
    <w:rsid w:val="00FD5085"/>
    <w:rsid w:val="00FD7413"/>
    <w:rsid w:val="00FE2570"/>
    <w:rsid w:val="00FE37EF"/>
    <w:rsid w:val="00FE4364"/>
    <w:rsid w:val="00FE5F81"/>
    <w:rsid w:val="00FE6990"/>
    <w:rsid w:val="00FF17C4"/>
    <w:rsid w:val="00FF223D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0926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9464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084F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C45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F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F2EA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B2C9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FB2C90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FB2C90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831C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31C6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31C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31C6F"/>
    <w:rPr>
      <w:rFonts w:cs="Times New Roman"/>
    </w:rPr>
  </w:style>
  <w:style w:type="character" w:customStyle="1" w:styleId="Titolo1Carattere">
    <w:name w:val="Titolo 1 Carattere"/>
    <w:basedOn w:val="Carpredefinitoparagrafo"/>
    <w:link w:val="Titolo1"/>
    <w:rsid w:val="009464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ommario1">
    <w:name w:val="toc 1"/>
    <w:basedOn w:val="Normale"/>
    <w:next w:val="Normale"/>
    <w:autoRedefine/>
    <w:uiPriority w:val="39"/>
    <w:locked/>
    <w:rsid w:val="0094643A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94643A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084F0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rosso">
    <w:name w:val="rosso"/>
    <w:basedOn w:val="Carpredefinitoparagrafo"/>
    <w:rsid w:val="00084F0A"/>
  </w:style>
  <w:style w:type="character" w:styleId="Rimandocommento">
    <w:name w:val="annotation reference"/>
    <w:basedOn w:val="Carpredefinitoparagrafo"/>
    <w:uiPriority w:val="99"/>
    <w:semiHidden/>
    <w:unhideWhenUsed/>
    <w:rsid w:val="00E637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379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3795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37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3795"/>
    <w:rPr>
      <w:b/>
      <w:bCs/>
      <w:sz w:val="20"/>
      <w:szCs w:val="20"/>
      <w:lang w:eastAsia="en-US"/>
    </w:rPr>
  </w:style>
  <w:style w:type="paragraph" w:styleId="Revisione">
    <w:name w:val="Revision"/>
    <w:hidden/>
    <w:uiPriority w:val="99"/>
    <w:semiHidden/>
    <w:rsid w:val="007F1CF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0926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9464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084F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C45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F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F2EA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B2C9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FB2C90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FB2C90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831C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31C6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31C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31C6F"/>
    <w:rPr>
      <w:rFonts w:cs="Times New Roman"/>
    </w:rPr>
  </w:style>
  <w:style w:type="character" w:customStyle="1" w:styleId="Titolo1Carattere">
    <w:name w:val="Titolo 1 Carattere"/>
    <w:basedOn w:val="Carpredefinitoparagrafo"/>
    <w:link w:val="Titolo1"/>
    <w:rsid w:val="009464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ommario1">
    <w:name w:val="toc 1"/>
    <w:basedOn w:val="Normale"/>
    <w:next w:val="Normale"/>
    <w:autoRedefine/>
    <w:uiPriority w:val="39"/>
    <w:locked/>
    <w:rsid w:val="0094643A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94643A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084F0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rosso">
    <w:name w:val="rosso"/>
    <w:basedOn w:val="Carpredefinitoparagrafo"/>
    <w:rsid w:val="00084F0A"/>
  </w:style>
  <w:style w:type="character" w:styleId="Rimandocommento">
    <w:name w:val="annotation reference"/>
    <w:basedOn w:val="Carpredefinitoparagrafo"/>
    <w:uiPriority w:val="99"/>
    <w:semiHidden/>
    <w:unhideWhenUsed/>
    <w:rsid w:val="00E637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379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3795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37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3795"/>
    <w:rPr>
      <w:b/>
      <w:bCs/>
      <w:sz w:val="20"/>
      <w:szCs w:val="20"/>
      <w:lang w:eastAsia="en-US"/>
    </w:rPr>
  </w:style>
  <w:style w:type="paragraph" w:styleId="Revisione">
    <w:name w:val="Revision"/>
    <w:hidden/>
    <w:uiPriority w:val="99"/>
    <w:semiHidden/>
    <w:rsid w:val="007F1CF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267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6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9.png"/><Relationship Id="rId26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emf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emf"/><Relationship Id="rId33" Type="http://schemas.openxmlformats.org/officeDocument/2006/relationships/image" Target="media/image24.em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emf"/><Relationship Id="rId29" Type="http://schemas.openxmlformats.org/officeDocument/2006/relationships/image" Target="media/image2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emf"/><Relationship Id="rId32" Type="http://schemas.openxmlformats.org/officeDocument/2006/relationships/image" Target="media/image23.em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31" Type="http://schemas.openxmlformats.org/officeDocument/2006/relationships/image" Target="media/image2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emf"/><Relationship Id="rId30" Type="http://schemas.openxmlformats.org/officeDocument/2006/relationships/image" Target="media/image21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19E1-3A4C-4754-9EF7-0356F43D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5621</Words>
  <Characters>32041</Characters>
  <Application>Microsoft Office Word</Application>
  <DocSecurity>0</DocSecurity>
  <Lines>267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Zenarolla</dc:creator>
  <cp:lastModifiedBy>TLC</cp:lastModifiedBy>
  <cp:revision>2</cp:revision>
  <cp:lastPrinted>2019-06-06T12:22:00Z</cp:lastPrinted>
  <dcterms:created xsi:type="dcterms:W3CDTF">2019-07-15T08:05:00Z</dcterms:created>
  <dcterms:modified xsi:type="dcterms:W3CDTF">2019-07-15T08:05:00Z</dcterms:modified>
</cp:coreProperties>
</file>