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3CA" w:rsidRPr="00965FF2" w:rsidRDefault="00EE33CA" w:rsidP="00EE33CA">
      <w:pPr>
        <w:spacing w:after="0"/>
        <w:jc w:val="center"/>
        <w:rPr>
          <w:rFonts w:ascii="DecimaWE Rg" w:hAnsi="DecimaWE Rg"/>
          <w:b/>
          <w:sz w:val="28"/>
          <w:szCs w:val="28"/>
          <w:u w:val="single"/>
        </w:rPr>
      </w:pPr>
      <w:bookmarkStart w:id="0" w:name="_GoBack"/>
      <w:bookmarkEnd w:id="0"/>
      <w:r w:rsidRPr="00965FF2">
        <w:rPr>
          <w:rFonts w:ascii="DecimaWE Rg" w:hAnsi="DecimaWE Rg"/>
          <w:b/>
          <w:sz w:val="28"/>
          <w:szCs w:val="28"/>
          <w:u w:val="single"/>
        </w:rPr>
        <w:t xml:space="preserve">MISURA ATTIVA </w:t>
      </w:r>
      <w:r>
        <w:rPr>
          <w:rFonts w:ascii="DecimaWE Rg" w:hAnsi="DecimaWE Rg"/>
          <w:b/>
          <w:sz w:val="28"/>
          <w:szCs w:val="28"/>
          <w:u w:val="single"/>
        </w:rPr>
        <w:t>DI</w:t>
      </w:r>
      <w:r w:rsidRPr="00965FF2">
        <w:rPr>
          <w:rFonts w:ascii="DecimaWE Rg" w:hAnsi="DecimaWE Rg"/>
          <w:b/>
          <w:sz w:val="28"/>
          <w:szCs w:val="28"/>
          <w:u w:val="single"/>
        </w:rPr>
        <w:t xml:space="preserve"> SOSTEGNO AL REDDITO</w:t>
      </w:r>
    </w:p>
    <w:p w:rsidR="00613865" w:rsidRDefault="00613865" w:rsidP="00613865">
      <w:pPr>
        <w:jc w:val="center"/>
        <w:rPr>
          <w:rFonts w:ascii="DecimaWE Rg" w:hAnsi="DecimaWE Rg"/>
          <w:sz w:val="24"/>
        </w:rPr>
      </w:pPr>
    </w:p>
    <w:p w:rsidR="00613865" w:rsidRDefault="00613865" w:rsidP="00613865">
      <w:pPr>
        <w:jc w:val="center"/>
        <w:rPr>
          <w:rFonts w:ascii="DecimaWE Rg" w:hAnsi="DecimaWE Rg"/>
          <w:sz w:val="24"/>
        </w:rPr>
      </w:pPr>
      <w:r>
        <w:rPr>
          <w:rFonts w:ascii="DecimaWE Rg" w:hAnsi="DecimaWE Rg"/>
          <w:sz w:val="24"/>
        </w:rPr>
        <w:t>Domande presentate dal 22/10/2015 al 22/10/2018</w:t>
      </w:r>
      <w:r>
        <w:rPr>
          <w:rStyle w:val="Rimandonotaapidipagina"/>
          <w:rFonts w:ascii="DecimaWE Rg" w:hAnsi="DecimaWE Rg"/>
          <w:sz w:val="24"/>
        </w:rPr>
        <w:footnoteReference w:id="1"/>
      </w:r>
      <w:r>
        <w:rPr>
          <w:rFonts w:ascii="DecimaWE Rg" w:hAnsi="DecimaWE Rg"/>
          <w:sz w:val="24"/>
        </w:rPr>
        <w:t xml:space="preserve"> </w:t>
      </w:r>
    </w:p>
    <w:p w:rsidR="00291810" w:rsidRDefault="00DA1B9E" w:rsidP="00291810">
      <w:pPr>
        <w:jc w:val="center"/>
        <w:rPr>
          <w:rFonts w:ascii="DecimaWE Rg" w:hAnsi="DecimaWE Rg"/>
          <w:sz w:val="24"/>
        </w:rPr>
      </w:pPr>
      <w:r>
        <w:rPr>
          <w:rFonts w:ascii="DecimaWE Rg" w:hAnsi="DecimaWE Rg"/>
          <w:sz w:val="24"/>
        </w:rPr>
        <w:t>Sintesi del m</w:t>
      </w:r>
      <w:r w:rsidR="006435C8" w:rsidRPr="00344A13">
        <w:rPr>
          <w:rFonts w:ascii="DecimaWE Rg" w:hAnsi="DecimaWE Rg"/>
          <w:sz w:val="24"/>
        </w:rPr>
        <w:t>onitoraggio</w:t>
      </w:r>
      <w:r w:rsidR="00291810">
        <w:rPr>
          <w:rFonts w:ascii="DecimaWE Rg" w:hAnsi="DecimaWE Rg"/>
          <w:sz w:val="24"/>
        </w:rPr>
        <w:t xml:space="preserve"> </w:t>
      </w:r>
      <w:r>
        <w:rPr>
          <w:rFonts w:ascii="DecimaWE Rg" w:hAnsi="DecimaWE Rg"/>
          <w:sz w:val="24"/>
        </w:rPr>
        <w:t>del triennio</w:t>
      </w:r>
      <w:r w:rsidR="00EE33CA">
        <w:rPr>
          <w:rFonts w:ascii="DecimaWE Rg" w:hAnsi="DecimaWE Rg"/>
          <w:sz w:val="24"/>
        </w:rPr>
        <w:t xml:space="preserve"> di sperimentazione</w:t>
      </w:r>
    </w:p>
    <w:p w:rsidR="00DA1B9E" w:rsidRDefault="00DA1B9E" w:rsidP="00EE33CA">
      <w:pPr>
        <w:jc w:val="both"/>
        <w:rPr>
          <w:rFonts w:ascii="DecimaWE Rg" w:hAnsi="DecimaWE Rg"/>
          <w:b/>
          <w:sz w:val="20"/>
          <w:szCs w:val="20"/>
        </w:rPr>
      </w:pPr>
    </w:p>
    <w:p w:rsidR="00EE33CA" w:rsidRPr="00EE33CA" w:rsidRDefault="00EE33CA" w:rsidP="00EE33CA">
      <w:pPr>
        <w:jc w:val="both"/>
        <w:rPr>
          <w:rFonts w:ascii="DecimaWE Rg" w:hAnsi="DecimaWE Rg"/>
          <w:b/>
          <w:sz w:val="20"/>
          <w:szCs w:val="20"/>
        </w:rPr>
      </w:pPr>
      <w:r w:rsidRPr="00EE33CA">
        <w:rPr>
          <w:rFonts w:ascii="DecimaWE Rg" w:hAnsi="DecimaWE Rg"/>
          <w:b/>
          <w:sz w:val="20"/>
          <w:szCs w:val="20"/>
        </w:rPr>
        <w:t>Premessa</w:t>
      </w:r>
    </w:p>
    <w:p w:rsidR="00EE33CA" w:rsidRPr="00EE33CA" w:rsidRDefault="00EE33CA" w:rsidP="00EE33CA">
      <w:pPr>
        <w:spacing w:after="0"/>
        <w:jc w:val="both"/>
        <w:rPr>
          <w:rFonts w:ascii="DecimaWE Rg" w:hAnsi="DecimaWE Rg"/>
          <w:sz w:val="20"/>
          <w:szCs w:val="20"/>
        </w:rPr>
      </w:pPr>
      <w:r w:rsidRPr="00EE33CA">
        <w:rPr>
          <w:rFonts w:ascii="DecimaWE Rg" w:hAnsi="DecimaWE Rg"/>
          <w:sz w:val="20"/>
          <w:szCs w:val="20"/>
        </w:rPr>
        <w:t xml:space="preserve">La Misura attiva di </w:t>
      </w:r>
      <w:r>
        <w:rPr>
          <w:rFonts w:ascii="DecimaWE Rg" w:hAnsi="DecimaWE Rg"/>
          <w:sz w:val="20"/>
          <w:szCs w:val="20"/>
        </w:rPr>
        <w:t>sostegno al reddito (</w:t>
      </w:r>
      <w:r w:rsidRPr="00EE33CA">
        <w:rPr>
          <w:rFonts w:ascii="DecimaWE Rg" w:hAnsi="DecimaWE Rg"/>
          <w:sz w:val="20"/>
          <w:szCs w:val="20"/>
        </w:rPr>
        <w:t xml:space="preserve">MIA), istituita in via sperimentale dalla </w:t>
      </w:r>
      <w:r w:rsidR="007E2B55">
        <w:rPr>
          <w:rFonts w:ascii="DecimaWE Rg" w:hAnsi="DecimaWE Rg"/>
          <w:sz w:val="20"/>
          <w:szCs w:val="20"/>
        </w:rPr>
        <w:t xml:space="preserve">Regione con </w:t>
      </w:r>
      <w:r w:rsidRPr="00EE33CA">
        <w:rPr>
          <w:rFonts w:ascii="DecimaWE Rg" w:hAnsi="DecimaWE Rg"/>
          <w:sz w:val="20"/>
          <w:szCs w:val="20"/>
        </w:rPr>
        <w:t>L.R. 15/2015 per un periodo di tre anni e attuata con regolamento emanato con D.P.Reg. 15/10/2015 n. 0216/Pres., è finalizzata a contrastare la povertà e l’esclusione sociale dei nuclei familiari, anche unipersonali, con almeno un componente residente in Regione da non meno di ventiquattro mesi e con Indicatore della situazione economica equivalente (ISEE) inferiore a 6.000 euro, oltre ad altri req</w:t>
      </w:r>
      <w:r w:rsidR="002817CB">
        <w:rPr>
          <w:rFonts w:ascii="DecimaWE Rg" w:hAnsi="DecimaWE Rg"/>
          <w:sz w:val="20"/>
          <w:szCs w:val="20"/>
        </w:rPr>
        <w:t>uisiti economici e patrimoniali</w:t>
      </w:r>
      <w:r w:rsidRPr="00EE33CA">
        <w:rPr>
          <w:rFonts w:ascii="DecimaWE Rg" w:hAnsi="DecimaWE Rg"/>
          <w:sz w:val="20"/>
          <w:szCs w:val="20"/>
        </w:rPr>
        <w:t>.</w:t>
      </w:r>
    </w:p>
    <w:p w:rsidR="00EE33CA" w:rsidRPr="00EE33CA" w:rsidRDefault="00EE33CA" w:rsidP="00EE33CA">
      <w:pPr>
        <w:spacing w:after="0"/>
        <w:jc w:val="both"/>
        <w:rPr>
          <w:rFonts w:ascii="DecimaWE Rg" w:hAnsi="DecimaWE Rg"/>
          <w:sz w:val="20"/>
          <w:szCs w:val="20"/>
        </w:rPr>
      </w:pPr>
      <w:r w:rsidRPr="00EE33CA">
        <w:rPr>
          <w:rFonts w:ascii="DecimaWE Rg" w:hAnsi="DecimaWE Rg"/>
          <w:sz w:val="20"/>
          <w:szCs w:val="20"/>
        </w:rPr>
        <w:t>La MIA, al fine di favorire la graduale uscita in autonomia dalla condizione di indigenza del nucleo beneficiario, prevede l’erogazione di un contributo economico condizionato alla presa in carico del nucleo stesso da parte dei Servizi Sociali dei Comuni che, sulla base di una valutazione integrata delle problematiche e dei bisogni, individuano le progettualità da realizzare in rete con Servizi regionali compete</w:t>
      </w:r>
      <w:r>
        <w:rPr>
          <w:rFonts w:ascii="DecimaWE Rg" w:hAnsi="DecimaWE Rg"/>
          <w:sz w:val="20"/>
          <w:szCs w:val="20"/>
        </w:rPr>
        <w:t>nti in materia di lavoro e</w:t>
      </w:r>
      <w:r w:rsidRPr="00EE33CA">
        <w:rPr>
          <w:rFonts w:ascii="DecimaWE Rg" w:hAnsi="DecimaWE Rg"/>
          <w:sz w:val="20"/>
          <w:szCs w:val="20"/>
        </w:rPr>
        <w:t xml:space="preserve"> formazione e con i soggetti del terzo settore. La presa in carico culmina nella predisposizione di un Patto di inclusione in cui sono previsti gli obiettivi di inclusione sociale, di</w:t>
      </w:r>
      <w:r>
        <w:rPr>
          <w:rFonts w:ascii="DecimaWE Rg" w:hAnsi="DecimaWE Rg"/>
          <w:sz w:val="20"/>
          <w:szCs w:val="20"/>
        </w:rPr>
        <w:t xml:space="preserve"> promozione dell’</w:t>
      </w:r>
      <w:r w:rsidRPr="00EE33CA">
        <w:rPr>
          <w:rFonts w:ascii="DecimaWE Rg" w:hAnsi="DecimaWE Rg"/>
          <w:sz w:val="20"/>
          <w:szCs w:val="20"/>
        </w:rPr>
        <w:t>occupabilità, di inserimento lavorativo, di riduzione dei rischi di marginalità per ciascun componente del nucleo e i relativi impegni che devono assumere e rispettare.</w:t>
      </w:r>
    </w:p>
    <w:p w:rsidR="00EE33CA" w:rsidRPr="00EE33CA" w:rsidRDefault="00EE33CA" w:rsidP="00EE33CA">
      <w:pPr>
        <w:spacing w:after="0"/>
        <w:jc w:val="both"/>
        <w:rPr>
          <w:rFonts w:ascii="DecimaWE Rg" w:hAnsi="DecimaWE Rg"/>
          <w:sz w:val="20"/>
          <w:szCs w:val="20"/>
        </w:rPr>
      </w:pPr>
      <w:r w:rsidRPr="00EE33CA">
        <w:rPr>
          <w:rFonts w:ascii="DecimaWE Rg" w:hAnsi="DecimaWE Rg"/>
          <w:sz w:val="20"/>
          <w:szCs w:val="20"/>
        </w:rPr>
        <w:t xml:space="preserve">La MIA ha pertanto anticipato i contenuti e le impostazioni delle misure nazionali che sono state avviate successivamente e con le quali la MIA si </w:t>
      </w:r>
      <w:r w:rsidR="001144CE">
        <w:rPr>
          <w:rFonts w:ascii="DecimaWE Rg" w:hAnsi="DecimaWE Rg"/>
          <w:sz w:val="20"/>
          <w:szCs w:val="20"/>
        </w:rPr>
        <w:t xml:space="preserve">è </w:t>
      </w:r>
      <w:r w:rsidR="00BE1178">
        <w:rPr>
          <w:rFonts w:ascii="DecimaWE Rg" w:hAnsi="DecimaWE Rg"/>
          <w:sz w:val="20"/>
          <w:szCs w:val="20"/>
        </w:rPr>
        <w:t>c</w:t>
      </w:r>
      <w:r w:rsidRPr="00EE33CA">
        <w:rPr>
          <w:rFonts w:ascii="DecimaWE Rg" w:hAnsi="DecimaWE Rg"/>
          <w:sz w:val="20"/>
          <w:szCs w:val="20"/>
        </w:rPr>
        <w:t>oordina</w:t>
      </w:r>
      <w:r w:rsidR="00BE1178">
        <w:rPr>
          <w:rFonts w:ascii="DecimaWE Rg" w:hAnsi="DecimaWE Rg"/>
          <w:sz w:val="20"/>
          <w:szCs w:val="20"/>
        </w:rPr>
        <w:t>ta</w:t>
      </w:r>
      <w:r w:rsidRPr="00EE33CA">
        <w:rPr>
          <w:rFonts w:ascii="DecimaWE Rg" w:hAnsi="DecimaWE Rg"/>
          <w:sz w:val="20"/>
          <w:szCs w:val="20"/>
        </w:rPr>
        <w:t xml:space="preserve"> </w:t>
      </w:r>
      <w:r w:rsidR="001144CE">
        <w:rPr>
          <w:rFonts w:ascii="DecimaWE Rg" w:hAnsi="DecimaWE Rg"/>
          <w:sz w:val="20"/>
          <w:szCs w:val="20"/>
        </w:rPr>
        <w:t xml:space="preserve">e </w:t>
      </w:r>
      <w:r w:rsidRPr="00EE33CA">
        <w:rPr>
          <w:rFonts w:ascii="DecimaWE Rg" w:hAnsi="DecimaWE Rg"/>
          <w:sz w:val="20"/>
          <w:szCs w:val="20"/>
        </w:rPr>
        <w:t>integra</w:t>
      </w:r>
      <w:r w:rsidR="00BE1178">
        <w:rPr>
          <w:rFonts w:ascii="DecimaWE Rg" w:hAnsi="DecimaWE Rg"/>
          <w:sz w:val="20"/>
          <w:szCs w:val="20"/>
        </w:rPr>
        <w:t>ta</w:t>
      </w:r>
      <w:r w:rsidRPr="00EE33CA">
        <w:rPr>
          <w:rFonts w:ascii="DecimaWE Rg" w:hAnsi="DecimaWE Rg"/>
          <w:sz w:val="20"/>
          <w:szCs w:val="20"/>
        </w:rPr>
        <w:t>, ovvero il Sostegno per l’Inclusion</w:t>
      </w:r>
      <w:r w:rsidR="00DE152C">
        <w:rPr>
          <w:rFonts w:ascii="DecimaWE Rg" w:hAnsi="DecimaWE Rg"/>
          <w:sz w:val="20"/>
          <w:szCs w:val="20"/>
        </w:rPr>
        <w:t>e Attiva (</w:t>
      </w:r>
      <w:r w:rsidRPr="00EE33CA">
        <w:rPr>
          <w:rFonts w:ascii="DecimaWE Rg" w:hAnsi="DecimaWE Rg"/>
          <w:sz w:val="20"/>
          <w:szCs w:val="20"/>
        </w:rPr>
        <w:t xml:space="preserve">SIA) e il Reddito di Inclusione (REI), </w:t>
      </w:r>
      <w:r w:rsidR="008B7EE0">
        <w:rPr>
          <w:rFonts w:ascii="DecimaWE Rg" w:hAnsi="DecimaWE Rg"/>
          <w:sz w:val="20"/>
          <w:szCs w:val="20"/>
        </w:rPr>
        <w:t>quest’ultimo</w:t>
      </w:r>
      <w:r w:rsidR="00DE152C">
        <w:rPr>
          <w:rFonts w:ascii="DecimaWE Rg" w:hAnsi="DecimaWE Rg"/>
          <w:sz w:val="20"/>
          <w:szCs w:val="20"/>
        </w:rPr>
        <w:t xml:space="preserve"> </w:t>
      </w:r>
      <w:r w:rsidRPr="00EE33CA">
        <w:rPr>
          <w:rFonts w:ascii="DecimaWE Rg" w:hAnsi="DecimaWE Rg"/>
          <w:sz w:val="20"/>
          <w:szCs w:val="20"/>
        </w:rPr>
        <w:t>identificato quale misura unica a livello nazionale di contrasto alla povertà e all'esclusione sociale a carattere universale e livello essenziale delle prestazioni da garantire sul territorio nazionale.</w:t>
      </w:r>
    </w:p>
    <w:p w:rsidR="00711A95" w:rsidRDefault="00711A95" w:rsidP="00EE33CA">
      <w:pPr>
        <w:spacing w:after="0"/>
        <w:jc w:val="both"/>
        <w:rPr>
          <w:rFonts w:ascii="DecimaWE Rg" w:hAnsi="DecimaWE Rg"/>
          <w:sz w:val="20"/>
          <w:szCs w:val="20"/>
        </w:rPr>
      </w:pPr>
    </w:p>
    <w:p w:rsidR="00A209F4" w:rsidRDefault="00711A95" w:rsidP="00EE33CA">
      <w:pPr>
        <w:spacing w:after="0"/>
        <w:jc w:val="both"/>
        <w:rPr>
          <w:rFonts w:ascii="DecimaWE Rg" w:hAnsi="DecimaWE Rg"/>
          <w:sz w:val="20"/>
          <w:szCs w:val="20"/>
        </w:rPr>
      </w:pPr>
      <w:r>
        <w:rPr>
          <w:rFonts w:ascii="DecimaWE Rg" w:hAnsi="DecimaWE Rg"/>
          <w:sz w:val="20"/>
          <w:szCs w:val="20"/>
        </w:rPr>
        <w:t>Il presente documento</w:t>
      </w:r>
      <w:r w:rsidR="00EE33CA" w:rsidRPr="00EE33CA">
        <w:rPr>
          <w:rFonts w:ascii="DecimaWE Rg" w:hAnsi="DecimaWE Rg"/>
          <w:sz w:val="20"/>
          <w:szCs w:val="20"/>
        </w:rPr>
        <w:t xml:space="preserve"> pr</w:t>
      </w:r>
      <w:r w:rsidR="00DE152C">
        <w:rPr>
          <w:rFonts w:ascii="DecimaWE Rg" w:hAnsi="DecimaWE Rg"/>
          <w:sz w:val="20"/>
          <w:szCs w:val="20"/>
        </w:rPr>
        <w:t xml:space="preserve">opone i </w:t>
      </w:r>
      <w:r w:rsidR="00DA1B9E">
        <w:rPr>
          <w:rFonts w:ascii="DecimaWE Rg" w:hAnsi="DecimaWE Rg"/>
          <w:sz w:val="20"/>
          <w:szCs w:val="20"/>
        </w:rPr>
        <w:t xml:space="preserve">primi </w:t>
      </w:r>
      <w:r w:rsidR="00DE152C">
        <w:rPr>
          <w:rFonts w:ascii="DecimaWE Rg" w:hAnsi="DecimaWE Rg"/>
          <w:sz w:val="20"/>
          <w:szCs w:val="20"/>
        </w:rPr>
        <w:t xml:space="preserve">dati di monitoraggio </w:t>
      </w:r>
      <w:r w:rsidR="00A209F4">
        <w:rPr>
          <w:rFonts w:ascii="DecimaWE Rg" w:hAnsi="DecimaWE Rg"/>
          <w:sz w:val="20"/>
          <w:szCs w:val="20"/>
        </w:rPr>
        <w:t>riassuntivi del</w:t>
      </w:r>
      <w:r w:rsidR="00DA1B9E">
        <w:rPr>
          <w:rFonts w:ascii="DecimaWE Rg" w:hAnsi="DecimaWE Rg"/>
          <w:sz w:val="20"/>
          <w:szCs w:val="20"/>
        </w:rPr>
        <w:t>l’intero</w:t>
      </w:r>
      <w:r w:rsidR="00A209F4">
        <w:rPr>
          <w:rFonts w:ascii="DecimaWE Rg" w:hAnsi="DecimaWE Rg"/>
          <w:sz w:val="20"/>
          <w:szCs w:val="20"/>
        </w:rPr>
        <w:t xml:space="preserve"> triennio di</w:t>
      </w:r>
      <w:r w:rsidR="00EE33CA" w:rsidRPr="00EE33CA">
        <w:rPr>
          <w:rFonts w:ascii="DecimaWE Rg" w:hAnsi="DecimaWE Rg"/>
          <w:sz w:val="20"/>
          <w:szCs w:val="20"/>
        </w:rPr>
        <w:t xml:space="preserve"> sperimentazione della MIA, </w:t>
      </w:r>
      <w:r w:rsidR="00A209F4">
        <w:rPr>
          <w:rFonts w:ascii="DecimaWE Rg" w:hAnsi="DecimaWE Rg"/>
          <w:sz w:val="20"/>
          <w:szCs w:val="20"/>
        </w:rPr>
        <w:t>con particolare riferimento</w:t>
      </w:r>
      <w:r w:rsidR="007E2B55">
        <w:rPr>
          <w:rFonts w:ascii="DecimaWE Rg" w:hAnsi="DecimaWE Rg"/>
          <w:sz w:val="20"/>
          <w:szCs w:val="20"/>
        </w:rPr>
        <w:t xml:space="preserve"> a</w:t>
      </w:r>
      <w:r w:rsidR="00A209F4">
        <w:rPr>
          <w:rFonts w:ascii="DecimaWE Rg" w:hAnsi="DecimaWE Rg"/>
          <w:sz w:val="20"/>
          <w:szCs w:val="20"/>
        </w:rPr>
        <w:t xml:space="preserve">: </w:t>
      </w:r>
    </w:p>
    <w:p w:rsidR="00A209F4" w:rsidRDefault="007E2B55" w:rsidP="00EE33CA">
      <w:pPr>
        <w:spacing w:after="0"/>
        <w:jc w:val="both"/>
        <w:rPr>
          <w:rFonts w:ascii="DecimaWE Rg" w:hAnsi="DecimaWE Rg"/>
          <w:sz w:val="20"/>
          <w:szCs w:val="20"/>
        </w:rPr>
      </w:pPr>
      <w:r>
        <w:rPr>
          <w:rFonts w:ascii="DecimaWE Rg" w:hAnsi="DecimaWE Rg"/>
          <w:sz w:val="20"/>
          <w:szCs w:val="20"/>
        </w:rPr>
        <w:t xml:space="preserve">- </w:t>
      </w:r>
      <w:r w:rsidR="00DE152C">
        <w:rPr>
          <w:rFonts w:ascii="DecimaWE Rg" w:hAnsi="DecimaWE Rg"/>
          <w:sz w:val="20"/>
          <w:szCs w:val="20"/>
        </w:rPr>
        <w:t>nuclei beneficiari</w:t>
      </w:r>
      <w:r w:rsidR="00DA1B9E">
        <w:rPr>
          <w:rStyle w:val="Rimandonotaapidipagina"/>
          <w:rFonts w:ascii="DecimaWE Rg" w:hAnsi="DecimaWE Rg"/>
          <w:sz w:val="20"/>
          <w:szCs w:val="20"/>
        </w:rPr>
        <w:footnoteReference w:id="2"/>
      </w:r>
      <w:r w:rsidR="00DE152C">
        <w:rPr>
          <w:rFonts w:ascii="DecimaWE Rg" w:hAnsi="DecimaWE Rg"/>
          <w:sz w:val="20"/>
          <w:szCs w:val="20"/>
        </w:rPr>
        <w:t xml:space="preserve"> della misura</w:t>
      </w:r>
      <w:r>
        <w:rPr>
          <w:rFonts w:ascii="DecimaWE Rg" w:hAnsi="DecimaWE Rg"/>
          <w:sz w:val="20"/>
          <w:szCs w:val="20"/>
        </w:rPr>
        <w:t xml:space="preserve">, </w:t>
      </w:r>
      <w:r w:rsidR="00A209F4">
        <w:rPr>
          <w:rFonts w:ascii="DecimaWE Rg" w:hAnsi="DecimaWE Rg"/>
          <w:sz w:val="20"/>
          <w:szCs w:val="20"/>
        </w:rPr>
        <w:t xml:space="preserve">loro profilo e caratteristiche </w:t>
      </w:r>
      <w:r w:rsidR="00613865">
        <w:rPr>
          <w:rFonts w:ascii="DecimaWE Rg" w:hAnsi="DecimaWE Rg"/>
          <w:sz w:val="20"/>
          <w:szCs w:val="20"/>
        </w:rPr>
        <w:t>dei componenti;</w:t>
      </w:r>
    </w:p>
    <w:p w:rsidR="00A209F4" w:rsidRDefault="00A209F4" w:rsidP="00EE33CA">
      <w:pPr>
        <w:spacing w:after="0"/>
        <w:jc w:val="both"/>
        <w:rPr>
          <w:rFonts w:ascii="DecimaWE Rg" w:hAnsi="DecimaWE Rg"/>
          <w:sz w:val="20"/>
          <w:szCs w:val="20"/>
        </w:rPr>
      </w:pPr>
      <w:r>
        <w:rPr>
          <w:rFonts w:ascii="DecimaWE Rg" w:hAnsi="DecimaWE Rg"/>
          <w:sz w:val="20"/>
          <w:szCs w:val="20"/>
        </w:rPr>
        <w:t>- distribuzione ter</w:t>
      </w:r>
      <w:r w:rsidR="007E2B55">
        <w:rPr>
          <w:rFonts w:ascii="DecimaWE Rg" w:hAnsi="DecimaWE Rg"/>
          <w:sz w:val="20"/>
          <w:szCs w:val="20"/>
        </w:rPr>
        <w:t xml:space="preserve">ritoriale dei beneficiari e loro </w:t>
      </w:r>
      <w:r>
        <w:rPr>
          <w:rFonts w:ascii="DecimaWE Rg" w:hAnsi="DecimaWE Rg"/>
          <w:sz w:val="20"/>
          <w:szCs w:val="20"/>
        </w:rPr>
        <w:t xml:space="preserve">incidenza rispetto alla </w:t>
      </w:r>
      <w:r w:rsidR="00DA1B9E">
        <w:rPr>
          <w:rFonts w:ascii="DecimaWE Rg" w:hAnsi="DecimaWE Rg"/>
          <w:sz w:val="20"/>
          <w:szCs w:val="20"/>
        </w:rPr>
        <w:t xml:space="preserve">relativa </w:t>
      </w:r>
      <w:r>
        <w:rPr>
          <w:rFonts w:ascii="DecimaWE Rg" w:hAnsi="DecimaWE Rg"/>
          <w:sz w:val="20"/>
          <w:szCs w:val="20"/>
        </w:rPr>
        <w:t>popolazione di riferimento;</w:t>
      </w:r>
    </w:p>
    <w:p w:rsidR="00A209F4" w:rsidRDefault="00A209F4" w:rsidP="00EE33CA">
      <w:pPr>
        <w:spacing w:after="0"/>
        <w:jc w:val="both"/>
        <w:rPr>
          <w:rFonts w:ascii="DecimaWE Rg" w:hAnsi="DecimaWE Rg"/>
          <w:sz w:val="20"/>
          <w:szCs w:val="20"/>
        </w:rPr>
      </w:pPr>
      <w:r>
        <w:rPr>
          <w:rFonts w:ascii="DecimaWE Rg" w:hAnsi="DecimaWE Rg"/>
          <w:sz w:val="20"/>
          <w:szCs w:val="20"/>
        </w:rPr>
        <w:t>- presa in cari</w:t>
      </w:r>
      <w:r w:rsidR="002817CB">
        <w:rPr>
          <w:rFonts w:ascii="DecimaWE Rg" w:hAnsi="DecimaWE Rg"/>
          <w:sz w:val="20"/>
          <w:szCs w:val="20"/>
        </w:rPr>
        <w:t>co dei nuclei beneficiari e</w:t>
      </w:r>
      <w:r>
        <w:rPr>
          <w:rFonts w:ascii="DecimaWE Rg" w:hAnsi="DecimaWE Rg"/>
          <w:sz w:val="20"/>
          <w:szCs w:val="20"/>
        </w:rPr>
        <w:t xml:space="preserve"> obiettivi dei Patti di inclusione stipulati con i servizi;</w:t>
      </w:r>
    </w:p>
    <w:p w:rsidR="00A209F4" w:rsidRDefault="00A209F4" w:rsidP="00EE33CA">
      <w:pPr>
        <w:spacing w:after="0"/>
        <w:jc w:val="both"/>
        <w:rPr>
          <w:rFonts w:ascii="DecimaWE Rg" w:hAnsi="DecimaWE Rg"/>
          <w:sz w:val="20"/>
          <w:szCs w:val="20"/>
        </w:rPr>
      </w:pPr>
      <w:r>
        <w:rPr>
          <w:rFonts w:ascii="DecimaWE Rg" w:hAnsi="DecimaWE Rg"/>
          <w:sz w:val="20"/>
          <w:szCs w:val="20"/>
        </w:rPr>
        <w:t>- primi esiti delle valutazioni dei servizi rispetto al raggiungimento degli obiet</w:t>
      </w:r>
      <w:r w:rsidR="00DA1B9E">
        <w:rPr>
          <w:rFonts w:ascii="DecimaWE Rg" w:hAnsi="DecimaWE Rg"/>
          <w:sz w:val="20"/>
          <w:szCs w:val="20"/>
        </w:rPr>
        <w:t>tivi contenuti nei P</w:t>
      </w:r>
      <w:r>
        <w:rPr>
          <w:rFonts w:ascii="DecimaWE Rg" w:hAnsi="DecimaWE Rg"/>
          <w:sz w:val="20"/>
          <w:szCs w:val="20"/>
        </w:rPr>
        <w:t xml:space="preserve">atti stessi. </w:t>
      </w:r>
    </w:p>
    <w:p w:rsidR="00FC42D7" w:rsidRDefault="00EE33CA" w:rsidP="00EE33CA">
      <w:pPr>
        <w:spacing w:after="0"/>
        <w:jc w:val="both"/>
        <w:rPr>
          <w:rFonts w:ascii="DecimaWE Rg" w:hAnsi="DecimaWE Rg"/>
          <w:sz w:val="20"/>
          <w:szCs w:val="20"/>
        </w:rPr>
      </w:pPr>
      <w:r w:rsidRPr="00EE33CA">
        <w:rPr>
          <w:rFonts w:ascii="DecimaWE Rg" w:hAnsi="DecimaWE Rg"/>
          <w:sz w:val="20"/>
          <w:szCs w:val="20"/>
        </w:rPr>
        <w:t>Si ricorda, come nota metodo</w:t>
      </w:r>
      <w:r w:rsidR="00A209F4">
        <w:rPr>
          <w:rFonts w:ascii="DecimaWE Rg" w:hAnsi="DecimaWE Rg"/>
          <w:sz w:val="20"/>
          <w:szCs w:val="20"/>
        </w:rPr>
        <w:t>logica, che i dati qui riportati</w:t>
      </w:r>
      <w:r w:rsidR="00613865">
        <w:rPr>
          <w:rFonts w:ascii="DecimaWE Rg" w:hAnsi="DecimaWE Rg"/>
          <w:sz w:val="20"/>
          <w:szCs w:val="20"/>
        </w:rPr>
        <w:t xml:space="preserve"> sono tratti da software (SIMIA per la gestione amministrativa e SIMIA-CRM per la gestione dei Patti di inclusione</w:t>
      </w:r>
      <w:r w:rsidRPr="00EE33CA">
        <w:rPr>
          <w:rFonts w:ascii="DecimaWE Rg" w:hAnsi="DecimaWE Rg"/>
          <w:sz w:val="20"/>
          <w:szCs w:val="20"/>
        </w:rPr>
        <w:t>) nati con funzione amministrativa/gestionale,</w:t>
      </w:r>
      <w:r w:rsidR="00A209F4">
        <w:rPr>
          <w:rFonts w:ascii="DecimaWE Rg" w:hAnsi="DecimaWE Rg"/>
          <w:sz w:val="20"/>
          <w:szCs w:val="20"/>
        </w:rPr>
        <w:t xml:space="preserve"> che </w:t>
      </w:r>
      <w:r w:rsidR="00613865">
        <w:rPr>
          <w:rFonts w:ascii="DecimaWE Rg" w:hAnsi="DecimaWE Rg"/>
          <w:sz w:val="20"/>
          <w:szCs w:val="20"/>
        </w:rPr>
        <w:t xml:space="preserve">pertanto </w:t>
      </w:r>
      <w:r w:rsidR="00A209F4">
        <w:rPr>
          <w:rFonts w:ascii="DecimaWE Rg" w:hAnsi="DecimaWE Rg"/>
          <w:sz w:val="20"/>
          <w:szCs w:val="20"/>
        </w:rPr>
        <w:t xml:space="preserve">non sempre permettono “la </w:t>
      </w:r>
      <w:r w:rsidR="00613865">
        <w:rPr>
          <w:rFonts w:ascii="DecimaWE Rg" w:hAnsi="DecimaWE Rg"/>
          <w:sz w:val="20"/>
          <w:szCs w:val="20"/>
        </w:rPr>
        <w:t xml:space="preserve">storicizzazione” del dato e </w:t>
      </w:r>
      <w:r w:rsidR="00A209F4">
        <w:rPr>
          <w:rFonts w:ascii="DecimaWE Rg" w:hAnsi="DecimaWE Rg"/>
          <w:sz w:val="20"/>
          <w:szCs w:val="20"/>
        </w:rPr>
        <w:t>risul</w:t>
      </w:r>
      <w:r w:rsidRPr="00EE33CA">
        <w:rPr>
          <w:rFonts w:ascii="DecimaWE Rg" w:hAnsi="DecimaWE Rg"/>
          <w:sz w:val="20"/>
          <w:szCs w:val="20"/>
        </w:rPr>
        <w:t>tano particolarmente sensibili alle modalità e tempistiche di estrazione delle informazioni. Non si tratta pertanto di dati statistici, ma di dati di natura amministrativa.</w:t>
      </w:r>
      <w:r w:rsidR="00A209F4">
        <w:rPr>
          <w:rFonts w:ascii="DecimaWE Rg" w:hAnsi="DecimaWE Rg"/>
          <w:sz w:val="20"/>
          <w:szCs w:val="20"/>
        </w:rPr>
        <w:t xml:space="preserve"> </w:t>
      </w:r>
    </w:p>
    <w:p w:rsidR="00EE33CA" w:rsidRDefault="00A209F4" w:rsidP="00EE33CA">
      <w:pPr>
        <w:spacing w:after="0"/>
        <w:jc w:val="both"/>
        <w:rPr>
          <w:rFonts w:ascii="DecimaWE Rg" w:hAnsi="DecimaWE Rg"/>
          <w:sz w:val="20"/>
          <w:szCs w:val="20"/>
        </w:rPr>
      </w:pPr>
      <w:r>
        <w:rPr>
          <w:rFonts w:ascii="DecimaWE Rg" w:hAnsi="DecimaWE Rg"/>
          <w:sz w:val="20"/>
          <w:szCs w:val="20"/>
        </w:rPr>
        <w:t xml:space="preserve">Si precisa inoltre che per </w:t>
      </w:r>
      <w:r w:rsidR="00613865">
        <w:rPr>
          <w:rFonts w:ascii="DecimaWE Rg" w:hAnsi="DecimaWE Rg"/>
          <w:sz w:val="20"/>
          <w:szCs w:val="20"/>
        </w:rPr>
        <w:t xml:space="preserve">una </w:t>
      </w:r>
      <w:r>
        <w:rPr>
          <w:rFonts w:ascii="DecimaWE Rg" w:hAnsi="DecimaWE Rg"/>
          <w:sz w:val="20"/>
          <w:szCs w:val="20"/>
        </w:rPr>
        <w:t xml:space="preserve">parte dei nuclei che hanno presentato domanda nell’ultimo periodo </w:t>
      </w:r>
      <w:r w:rsidR="00FC42D7">
        <w:rPr>
          <w:rFonts w:ascii="DecimaWE Rg" w:hAnsi="DecimaWE Rg"/>
          <w:sz w:val="20"/>
          <w:szCs w:val="20"/>
        </w:rPr>
        <w:t>di sperimentazione</w:t>
      </w:r>
      <w:r w:rsidR="00613865">
        <w:rPr>
          <w:rFonts w:ascii="DecimaWE Rg" w:hAnsi="DecimaWE Rg"/>
          <w:sz w:val="20"/>
          <w:szCs w:val="20"/>
        </w:rPr>
        <w:t>,</w:t>
      </w:r>
      <w:r w:rsidR="00FC42D7">
        <w:rPr>
          <w:rFonts w:ascii="DecimaWE Rg" w:hAnsi="DecimaWE Rg"/>
          <w:sz w:val="20"/>
          <w:szCs w:val="20"/>
        </w:rPr>
        <w:t xml:space="preserve"> </w:t>
      </w:r>
      <w:r w:rsidR="00613865">
        <w:rPr>
          <w:rFonts w:ascii="DecimaWE Rg" w:hAnsi="DecimaWE Rg"/>
          <w:sz w:val="20"/>
          <w:szCs w:val="20"/>
        </w:rPr>
        <w:t xml:space="preserve">al momento dell’estrazione dei dati cui viene fatto riferimento nel presente report, </w:t>
      </w:r>
      <w:r>
        <w:rPr>
          <w:rFonts w:ascii="DecimaWE Rg" w:hAnsi="DecimaWE Rg"/>
          <w:sz w:val="20"/>
          <w:szCs w:val="20"/>
        </w:rPr>
        <w:t>non risult</w:t>
      </w:r>
      <w:r w:rsidR="00613865">
        <w:rPr>
          <w:rFonts w:ascii="DecimaWE Rg" w:hAnsi="DecimaWE Rg"/>
          <w:sz w:val="20"/>
          <w:szCs w:val="20"/>
        </w:rPr>
        <w:t>ava ancora</w:t>
      </w:r>
      <w:r>
        <w:rPr>
          <w:rFonts w:ascii="DecimaWE Rg" w:hAnsi="DecimaWE Rg"/>
          <w:sz w:val="20"/>
          <w:szCs w:val="20"/>
        </w:rPr>
        <w:t xml:space="preserve"> registrata</w:t>
      </w:r>
      <w:r w:rsidR="00FC42D7">
        <w:rPr>
          <w:rFonts w:ascii="DecimaWE Rg" w:hAnsi="DecimaWE Rg"/>
          <w:sz w:val="20"/>
          <w:szCs w:val="20"/>
        </w:rPr>
        <w:t xml:space="preserve"> a sistema</w:t>
      </w:r>
      <w:r>
        <w:rPr>
          <w:rFonts w:ascii="DecimaWE Rg" w:hAnsi="DecimaWE Rg"/>
          <w:sz w:val="20"/>
          <w:szCs w:val="20"/>
        </w:rPr>
        <w:t xml:space="preserve"> la prima avvenuta </w:t>
      </w:r>
      <w:r w:rsidR="00FC42D7">
        <w:rPr>
          <w:rFonts w:ascii="DecimaWE Rg" w:hAnsi="DecimaWE Rg"/>
          <w:sz w:val="20"/>
          <w:szCs w:val="20"/>
        </w:rPr>
        <w:t>erogazione monetaria</w:t>
      </w:r>
      <w:r>
        <w:rPr>
          <w:rFonts w:ascii="DecimaWE Rg" w:hAnsi="DecimaWE Rg"/>
          <w:sz w:val="20"/>
          <w:szCs w:val="20"/>
        </w:rPr>
        <w:t xml:space="preserve"> e</w:t>
      </w:r>
      <w:r w:rsidR="00613865">
        <w:rPr>
          <w:rFonts w:ascii="DecimaWE Rg" w:hAnsi="DecimaWE Rg"/>
          <w:sz w:val="20"/>
          <w:szCs w:val="20"/>
        </w:rPr>
        <w:t>,</w:t>
      </w:r>
      <w:r>
        <w:rPr>
          <w:rFonts w:ascii="DecimaWE Rg" w:hAnsi="DecimaWE Rg"/>
          <w:sz w:val="20"/>
          <w:szCs w:val="20"/>
        </w:rPr>
        <w:t xml:space="preserve"> pertanto</w:t>
      </w:r>
      <w:r w:rsidR="00613865">
        <w:rPr>
          <w:rFonts w:ascii="DecimaWE Rg" w:hAnsi="DecimaWE Rg"/>
          <w:sz w:val="20"/>
          <w:szCs w:val="20"/>
        </w:rPr>
        <w:t>,</w:t>
      </w:r>
      <w:r>
        <w:rPr>
          <w:rFonts w:ascii="DecimaWE Rg" w:hAnsi="DecimaWE Rg"/>
          <w:sz w:val="20"/>
          <w:szCs w:val="20"/>
        </w:rPr>
        <w:t xml:space="preserve"> possono non rientrare nel computo complessivo dei nuclei qui riportato. P</w:t>
      </w:r>
      <w:r w:rsidR="00FC42D7">
        <w:rPr>
          <w:rFonts w:ascii="DecimaWE Rg" w:hAnsi="DecimaWE Rg"/>
          <w:sz w:val="20"/>
          <w:szCs w:val="20"/>
        </w:rPr>
        <w:t>er quanto concerne</w:t>
      </w:r>
      <w:r w:rsidR="00613865">
        <w:rPr>
          <w:rFonts w:ascii="DecimaWE Rg" w:hAnsi="DecimaWE Rg"/>
          <w:sz w:val="20"/>
          <w:szCs w:val="20"/>
        </w:rPr>
        <w:t>,</w:t>
      </w:r>
      <w:r w:rsidR="00FC42D7">
        <w:rPr>
          <w:rFonts w:ascii="DecimaWE Rg" w:hAnsi="DecimaWE Rg"/>
          <w:sz w:val="20"/>
          <w:szCs w:val="20"/>
        </w:rPr>
        <w:t xml:space="preserve"> infine</w:t>
      </w:r>
      <w:r w:rsidR="00613865">
        <w:rPr>
          <w:rFonts w:ascii="DecimaWE Rg" w:hAnsi="DecimaWE Rg"/>
          <w:sz w:val="20"/>
          <w:szCs w:val="20"/>
        </w:rPr>
        <w:t>,</w:t>
      </w:r>
      <w:r w:rsidR="00FC42D7">
        <w:rPr>
          <w:rFonts w:ascii="DecimaWE Rg" w:hAnsi="DecimaWE Rg"/>
          <w:sz w:val="20"/>
          <w:szCs w:val="20"/>
        </w:rPr>
        <w:t xml:space="preserve"> la presa in carico e in particolare </w:t>
      </w:r>
      <w:r>
        <w:rPr>
          <w:rFonts w:ascii="DecimaWE Rg" w:hAnsi="DecimaWE Rg"/>
          <w:sz w:val="20"/>
          <w:szCs w:val="20"/>
        </w:rPr>
        <w:t xml:space="preserve">la registrazione a sistema delle </w:t>
      </w:r>
      <w:r w:rsidR="00FC42D7">
        <w:rPr>
          <w:rFonts w:ascii="DecimaWE Rg" w:hAnsi="DecimaWE Rg"/>
          <w:sz w:val="20"/>
          <w:szCs w:val="20"/>
        </w:rPr>
        <w:t>verifiche finali relative ai Patti, l’aggiornamento a sistema delle infor</w:t>
      </w:r>
      <w:r w:rsidR="00613865">
        <w:rPr>
          <w:rFonts w:ascii="DecimaWE Rg" w:hAnsi="DecimaWE Rg"/>
          <w:sz w:val="20"/>
          <w:szCs w:val="20"/>
        </w:rPr>
        <w:t>mazioni risulta ancora in corso</w:t>
      </w:r>
      <w:r w:rsidR="00FC42D7">
        <w:rPr>
          <w:rFonts w:ascii="DecimaWE Rg" w:hAnsi="DecimaWE Rg"/>
          <w:sz w:val="20"/>
          <w:szCs w:val="20"/>
        </w:rPr>
        <w:t xml:space="preserve"> </w:t>
      </w:r>
      <w:r w:rsidR="007E2B55">
        <w:rPr>
          <w:rFonts w:ascii="DecimaWE Rg" w:hAnsi="DecimaWE Rg"/>
          <w:sz w:val="20"/>
          <w:szCs w:val="20"/>
        </w:rPr>
        <w:t>e vengono pertanto di seguito</w:t>
      </w:r>
      <w:r w:rsidR="00613865">
        <w:rPr>
          <w:rFonts w:ascii="DecimaWE Rg" w:hAnsi="DecimaWE Rg"/>
          <w:sz w:val="20"/>
          <w:szCs w:val="20"/>
        </w:rPr>
        <w:t xml:space="preserve"> </w:t>
      </w:r>
      <w:r w:rsidR="00FC42D7">
        <w:rPr>
          <w:rFonts w:ascii="DecimaWE Rg" w:hAnsi="DecimaWE Rg"/>
          <w:sz w:val="20"/>
          <w:szCs w:val="20"/>
        </w:rPr>
        <w:t>riportati</w:t>
      </w:r>
      <w:r w:rsidR="007E2B55">
        <w:rPr>
          <w:rFonts w:ascii="DecimaWE Rg" w:hAnsi="DecimaWE Rg"/>
          <w:sz w:val="20"/>
          <w:szCs w:val="20"/>
        </w:rPr>
        <w:t xml:space="preserve"> solo</w:t>
      </w:r>
      <w:r w:rsidR="00FC42D7">
        <w:rPr>
          <w:rFonts w:ascii="DecimaWE Rg" w:hAnsi="DecimaWE Rg"/>
          <w:sz w:val="20"/>
          <w:szCs w:val="20"/>
        </w:rPr>
        <w:t xml:space="preserve"> i primi dati disponibili.</w:t>
      </w:r>
      <w:r>
        <w:rPr>
          <w:rFonts w:ascii="DecimaWE Rg" w:hAnsi="DecimaWE Rg"/>
          <w:sz w:val="20"/>
          <w:szCs w:val="20"/>
        </w:rPr>
        <w:t xml:space="preserve">  </w:t>
      </w:r>
    </w:p>
    <w:p w:rsidR="00A93475" w:rsidRPr="00EE33CA" w:rsidRDefault="00A93475" w:rsidP="00EE33CA">
      <w:pPr>
        <w:spacing w:after="0"/>
        <w:jc w:val="both"/>
        <w:rPr>
          <w:rFonts w:ascii="DecimaWE Rg" w:hAnsi="DecimaWE Rg"/>
          <w:sz w:val="20"/>
          <w:szCs w:val="20"/>
        </w:rPr>
      </w:pPr>
    </w:p>
    <w:p w:rsidR="00353CE5" w:rsidRDefault="00353CE5" w:rsidP="00291810">
      <w:pPr>
        <w:jc w:val="both"/>
        <w:rPr>
          <w:rFonts w:ascii="DecimaWE Rg" w:hAnsi="DecimaWE Rg"/>
          <w:b/>
          <w:sz w:val="20"/>
          <w:szCs w:val="20"/>
        </w:rPr>
      </w:pPr>
    </w:p>
    <w:p w:rsidR="00BB7592" w:rsidRDefault="00BB7592" w:rsidP="00291810">
      <w:pPr>
        <w:jc w:val="both"/>
        <w:rPr>
          <w:rFonts w:ascii="DecimaWE Rg" w:hAnsi="DecimaWE Rg"/>
          <w:b/>
          <w:sz w:val="20"/>
          <w:szCs w:val="20"/>
        </w:rPr>
      </w:pPr>
    </w:p>
    <w:p w:rsidR="00EE33CA" w:rsidRPr="00A93475" w:rsidRDefault="00A93475" w:rsidP="00291810">
      <w:pPr>
        <w:jc w:val="both"/>
        <w:rPr>
          <w:rFonts w:ascii="DecimaWE Rg" w:hAnsi="DecimaWE Rg"/>
          <w:b/>
          <w:sz w:val="20"/>
          <w:szCs w:val="20"/>
        </w:rPr>
      </w:pPr>
      <w:r w:rsidRPr="00A93475">
        <w:rPr>
          <w:rFonts w:ascii="DecimaWE Rg" w:hAnsi="DecimaWE Rg"/>
          <w:b/>
          <w:sz w:val="20"/>
          <w:szCs w:val="20"/>
        </w:rPr>
        <w:lastRenderedPageBreak/>
        <w:t>Nuclei beneficiari: distribuzione e caratteristiche</w:t>
      </w:r>
    </w:p>
    <w:p w:rsidR="00CB377B" w:rsidRDefault="00613865" w:rsidP="00CB377B">
      <w:pPr>
        <w:spacing w:after="0"/>
        <w:jc w:val="both"/>
        <w:rPr>
          <w:rFonts w:ascii="DecimaWE Rg" w:hAnsi="DecimaWE Rg"/>
          <w:sz w:val="20"/>
          <w:szCs w:val="20"/>
        </w:rPr>
      </w:pPr>
      <w:r>
        <w:rPr>
          <w:rFonts w:ascii="DecimaWE Rg" w:hAnsi="DecimaWE Rg"/>
          <w:sz w:val="20"/>
          <w:szCs w:val="20"/>
        </w:rPr>
        <w:t>I</w:t>
      </w:r>
      <w:r w:rsidR="00291810" w:rsidRPr="00291810">
        <w:rPr>
          <w:rFonts w:ascii="DecimaWE Rg" w:hAnsi="DecimaWE Rg"/>
          <w:sz w:val="20"/>
          <w:szCs w:val="20"/>
        </w:rPr>
        <w:t xml:space="preserve"> </w:t>
      </w:r>
      <w:r>
        <w:rPr>
          <w:rFonts w:ascii="DecimaWE Rg" w:hAnsi="DecimaWE Rg"/>
          <w:b/>
          <w:sz w:val="20"/>
          <w:szCs w:val="20"/>
        </w:rPr>
        <w:t>N</w:t>
      </w:r>
      <w:r w:rsidR="00291810" w:rsidRPr="00E06FB2">
        <w:rPr>
          <w:rFonts w:ascii="DecimaWE Rg" w:hAnsi="DecimaWE Rg"/>
          <w:b/>
          <w:sz w:val="20"/>
          <w:szCs w:val="20"/>
        </w:rPr>
        <w:t xml:space="preserve">uclei </w:t>
      </w:r>
      <w:r w:rsidR="00291810" w:rsidRPr="00291810">
        <w:rPr>
          <w:rFonts w:ascii="DecimaWE Rg" w:hAnsi="DecimaWE Rg"/>
          <w:sz w:val="20"/>
          <w:szCs w:val="20"/>
        </w:rPr>
        <w:t xml:space="preserve">familiari </w:t>
      </w:r>
      <w:r w:rsidR="00291810" w:rsidRPr="00E06FB2">
        <w:rPr>
          <w:rFonts w:ascii="DecimaWE Rg" w:hAnsi="DecimaWE Rg"/>
          <w:b/>
          <w:sz w:val="20"/>
          <w:szCs w:val="20"/>
        </w:rPr>
        <w:t>beneficiari di MIA e MIA+SIA</w:t>
      </w:r>
      <w:r w:rsidR="00E06FB2">
        <w:rPr>
          <w:rFonts w:ascii="DecimaWE Rg" w:hAnsi="DecimaWE Rg"/>
          <w:sz w:val="20"/>
          <w:szCs w:val="20"/>
        </w:rPr>
        <w:t xml:space="preserve"> dal 2015 al 2018</w:t>
      </w:r>
      <w:r>
        <w:rPr>
          <w:rFonts w:ascii="DecimaWE Rg" w:hAnsi="DecimaWE Rg"/>
          <w:sz w:val="20"/>
          <w:szCs w:val="20"/>
        </w:rPr>
        <w:t xml:space="preserve"> risultano complessivamente </w:t>
      </w:r>
      <w:r w:rsidRPr="00E06FB2">
        <w:rPr>
          <w:rFonts w:ascii="DecimaWE Rg" w:hAnsi="DecimaWE Rg"/>
          <w:b/>
          <w:sz w:val="20"/>
          <w:szCs w:val="20"/>
        </w:rPr>
        <w:t>20.568</w:t>
      </w:r>
      <w:r w:rsidR="00291810" w:rsidRPr="00291810">
        <w:rPr>
          <w:rFonts w:ascii="DecimaWE Rg" w:hAnsi="DecimaWE Rg"/>
          <w:sz w:val="20"/>
          <w:szCs w:val="20"/>
        </w:rPr>
        <w:t>; l’</w:t>
      </w:r>
      <w:r w:rsidR="00291810" w:rsidRPr="00CB377B">
        <w:rPr>
          <w:rFonts w:ascii="DecimaWE Rg" w:hAnsi="DecimaWE Rg"/>
          <w:b/>
          <w:sz w:val="20"/>
          <w:szCs w:val="20"/>
        </w:rPr>
        <w:t>incidenza rispetto alle famiglie residenti</w:t>
      </w:r>
      <w:r w:rsidRPr="00CB377B">
        <w:rPr>
          <w:rFonts w:ascii="DecimaWE Rg" w:hAnsi="DecimaWE Rg"/>
          <w:b/>
          <w:sz w:val="20"/>
          <w:szCs w:val="20"/>
        </w:rPr>
        <w:t xml:space="preserve"> </w:t>
      </w:r>
      <w:r>
        <w:rPr>
          <w:rFonts w:ascii="DecimaWE Rg" w:hAnsi="DecimaWE Rg"/>
          <w:sz w:val="20"/>
          <w:szCs w:val="20"/>
        </w:rPr>
        <w:t xml:space="preserve">in regione è pari al </w:t>
      </w:r>
      <w:r w:rsidRPr="00CB377B">
        <w:rPr>
          <w:rFonts w:ascii="DecimaWE Rg" w:hAnsi="DecimaWE Rg"/>
          <w:b/>
          <w:sz w:val="20"/>
          <w:szCs w:val="20"/>
        </w:rPr>
        <w:t>3,7%</w:t>
      </w:r>
      <w:r w:rsidR="007E2B55">
        <w:rPr>
          <w:rFonts w:ascii="DecimaWE Rg" w:hAnsi="DecimaWE Rg"/>
          <w:sz w:val="20"/>
          <w:szCs w:val="20"/>
        </w:rPr>
        <w:t xml:space="preserve"> e risulta maggiore per</w:t>
      </w:r>
      <w:r>
        <w:rPr>
          <w:rFonts w:ascii="DecimaWE Rg" w:hAnsi="DecimaWE Rg"/>
          <w:sz w:val="20"/>
          <w:szCs w:val="20"/>
        </w:rPr>
        <w:t xml:space="preserve"> i Servizi Sociali dei Comuni del </w:t>
      </w:r>
      <w:r w:rsidR="00291810" w:rsidRPr="00291810">
        <w:rPr>
          <w:rFonts w:ascii="DecimaWE Rg" w:hAnsi="DecimaWE Rg"/>
          <w:sz w:val="20"/>
          <w:szCs w:val="20"/>
        </w:rPr>
        <w:t>Friuli Centrale e Triestino</w:t>
      </w:r>
      <w:r w:rsidR="00E06FB2">
        <w:rPr>
          <w:rFonts w:ascii="DecimaWE Rg" w:hAnsi="DecimaWE Rg"/>
          <w:sz w:val="20"/>
          <w:szCs w:val="20"/>
        </w:rPr>
        <w:t>, dove supera</w:t>
      </w:r>
      <w:r w:rsidR="00291810" w:rsidRPr="00291810">
        <w:rPr>
          <w:rFonts w:ascii="DecimaWE Rg" w:hAnsi="DecimaWE Rg"/>
          <w:sz w:val="20"/>
          <w:szCs w:val="20"/>
        </w:rPr>
        <w:t xml:space="preserve"> il 5%. </w:t>
      </w:r>
      <w:r w:rsidR="00376257">
        <w:rPr>
          <w:rFonts w:ascii="DecimaWE Rg" w:hAnsi="DecimaWE Rg"/>
          <w:sz w:val="20"/>
          <w:szCs w:val="20"/>
        </w:rPr>
        <w:t>In questi due territori si concentra il 47,8% dei nuclei beneficiari.</w:t>
      </w:r>
      <w:r w:rsidR="00CB377B">
        <w:rPr>
          <w:rFonts w:ascii="DecimaWE Rg" w:hAnsi="DecimaWE Rg"/>
          <w:sz w:val="20"/>
          <w:szCs w:val="20"/>
        </w:rPr>
        <w:t xml:space="preserve"> </w:t>
      </w:r>
      <w:r w:rsidR="00033953">
        <w:rPr>
          <w:rFonts w:ascii="DecimaWE Rg" w:hAnsi="DecimaWE Rg"/>
          <w:sz w:val="20"/>
          <w:szCs w:val="20"/>
        </w:rPr>
        <w:t>La distribuzione tra contesti urbani e periferici evidenzia una certa disomogeneità,</w:t>
      </w:r>
      <w:r w:rsidR="00CB377B">
        <w:rPr>
          <w:rFonts w:ascii="DecimaWE Rg" w:hAnsi="DecimaWE Rg"/>
          <w:sz w:val="20"/>
          <w:szCs w:val="20"/>
        </w:rPr>
        <w:t xml:space="preserve"> coerentemente con la maggior concentrazione di situazioni di povertà nelle aree urbane,</w:t>
      </w:r>
      <w:r w:rsidR="00CB377B" w:rsidRPr="00CB377B">
        <w:rPr>
          <w:rFonts w:ascii="DecimaWE Rg" w:hAnsi="DecimaWE Rg"/>
          <w:sz w:val="20"/>
          <w:szCs w:val="20"/>
        </w:rPr>
        <w:t xml:space="preserve"> interessate anche dalla maggior presenza di i</w:t>
      </w:r>
      <w:r w:rsidR="00CB377B">
        <w:rPr>
          <w:rFonts w:ascii="DecimaWE Rg" w:hAnsi="DecimaWE Rg"/>
          <w:sz w:val="20"/>
          <w:szCs w:val="20"/>
        </w:rPr>
        <w:t xml:space="preserve">mmigrati, </w:t>
      </w:r>
      <w:r w:rsidR="00CB377B" w:rsidRPr="00CB377B">
        <w:rPr>
          <w:rFonts w:ascii="DecimaWE Rg" w:hAnsi="DecimaWE Rg"/>
          <w:sz w:val="20"/>
          <w:szCs w:val="20"/>
        </w:rPr>
        <w:t>rispetto a quelle rurali.</w:t>
      </w:r>
      <w:r w:rsidR="00CB377B">
        <w:rPr>
          <w:rFonts w:ascii="DecimaWE Rg" w:hAnsi="DecimaWE Rg"/>
          <w:sz w:val="20"/>
          <w:szCs w:val="20"/>
        </w:rPr>
        <w:t xml:space="preserve"> </w:t>
      </w:r>
    </w:p>
    <w:p w:rsidR="009D6A34" w:rsidRPr="00291810" w:rsidRDefault="009D6A34" w:rsidP="00CB377B">
      <w:pPr>
        <w:spacing w:after="0"/>
        <w:jc w:val="both"/>
        <w:rPr>
          <w:rFonts w:ascii="DecimaWE Rg" w:hAnsi="DecimaWE Rg"/>
          <w:sz w:val="20"/>
          <w:szCs w:val="20"/>
        </w:rPr>
      </w:pPr>
    </w:p>
    <w:p w:rsidR="00D925A9" w:rsidRDefault="00CB377B" w:rsidP="00291810">
      <w:pPr>
        <w:jc w:val="both"/>
        <w:rPr>
          <w:rFonts w:ascii="DecimaWE Rg" w:hAnsi="DecimaWE Rg"/>
          <w:sz w:val="20"/>
          <w:szCs w:val="20"/>
        </w:rPr>
      </w:pPr>
      <w:r>
        <w:rPr>
          <w:rFonts w:ascii="DecimaWE Rg" w:hAnsi="DecimaWE Rg"/>
          <w:b/>
          <w:sz w:val="20"/>
          <w:szCs w:val="20"/>
        </w:rPr>
        <w:t>I</w:t>
      </w:r>
      <w:r w:rsidR="00291810" w:rsidRPr="00E06FB2">
        <w:rPr>
          <w:rFonts w:ascii="DecimaWE Rg" w:hAnsi="DecimaWE Rg"/>
          <w:b/>
          <w:sz w:val="20"/>
          <w:szCs w:val="20"/>
        </w:rPr>
        <w:t xml:space="preserve"> componenti dei nuclei beneficiari</w:t>
      </w:r>
      <w:r>
        <w:rPr>
          <w:rFonts w:ascii="DecimaWE Rg" w:hAnsi="DecimaWE Rg"/>
          <w:b/>
          <w:sz w:val="20"/>
          <w:szCs w:val="20"/>
        </w:rPr>
        <w:t xml:space="preserve"> </w:t>
      </w:r>
      <w:r w:rsidRPr="00CB377B">
        <w:rPr>
          <w:rFonts w:ascii="DecimaWE Rg" w:hAnsi="DecimaWE Rg"/>
          <w:sz w:val="20"/>
          <w:szCs w:val="20"/>
        </w:rPr>
        <w:t>sono complessivamente</w:t>
      </w:r>
      <w:r>
        <w:rPr>
          <w:rFonts w:ascii="DecimaWE Rg" w:hAnsi="DecimaWE Rg"/>
          <w:b/>
          <w:sz w:val="20"/>
          <w:szCs w:val="20"/>
        </w:rPr>
        <w:t xml:space="preserve"> 54.101</w:t>
      </w:r>
      <w:r w:rsidR="00291810" w:rsidRPr="00291810">
        <w:rPr>
          <w:rFonts w:ascii="DecimaWE Rg" w:hAnsi="DecimaWE Rg"/>
          <w:sz w:val="20"/>
          <w:szCs w:val="20"/>
        </w:rPr>
        <w:t xml:space="preserve">, in media 2,6 </w:t>
      </w:r>
      <w:r>
        <w:rPr>
          <w:rFonts w:ascii="DecimaWE Rg" w:hAnsi="DecimaWE Rg"/>
          <w:sz w:val="20"/>
          <w:szCs w:val="20"/>
        </w:rPr>
        <w:t xml:space="preserve">persone </w:t>
      </w:r>
      <w:r w:rsidR="00291810" w:rsidRPr="00291810">
        <w:rPr>
          <w:rFonts w:ascii="DecimaWE Rg" w:hAnsi="DecimaWE Rg"/>
          <w:sz w:val="20"/>
          <w:szCs w:val="20"/>
        </w:rPr>
        <w:t>per nucleo; l’incidenza dei componenti dei nuclei beneficiari o</w:t>
      </w:r>
      <w:r>
        <w:rPr>
          <w:rFonts w:ascii="DecimaWE Rg" w:hAnsi="DecimaWE Rg"/>
          <w:sz w:val="20"/>
          <w:szCs w:val="20"/>
        </w:rPr>
        <w:t>gni 100 abitanti è pari a 4,4</w:t>
      </w:r>
      <w:r w:rsidR="002817CB">
        <w:rPr>
          <w:rFonts w:ascii="DecimaWE Rg" w:hAnsi="DecimaWE Rg"/>
          <w:sz w:val="20"/>
          <w:szCs w:val="20"/>
        </w:rPr>
        <w:t>%</w:t>
      </w:r>
      <w:r>
        <w:rPr>
          <w:rFonts w:ascii="DecimaWE Rg" w:hAnsi="DecimaWE Rg"/>
          <w:sz w:val="20"/>
          <w:szCs w:val="20"/>
        </w:rPr>
        <w:t xml:space="preserve"> e risulta</w:t>
      </w:r>
      <w:r w:rsidR="00291810" w:rsidRPr="00291810">
        <w:rPr>
          <w:rFonts w:ascii="DecimaWE Rg" w:hAnsi="DecimaWE Rg"/>
          <w:sz w:val="20"/>
          <w:szCs w:val="20"/>
        </w:rPr>
        <w:t xml:space="preserve"> maggiore nei </w:t>
      </w:r>
      <w:r w:rsidR="008160AA">
        <w:rPr>
          <w:rFonts w:ascii="DecimaWE Rg" w:hAnsi="DecimaWE Rg"/>
          <w:sz w:val="20"/>
          <w:szCs w:val="20"/>
        </w:rPr>
        <w:t xml:space="preserve">SSC </w:t>
      </w:r>
      <w:r w:rsidR="00291810" w:rsidRPr="00291810">
        <w:rPr>
          <w:rFonts w:ascii="DecimaWE Rg" w:hAnsi="DecimaWE Rg"/>
          <w:sz w:val="20"/>
          <w:szCs w:val="20"/>
        </w:rPr>
        <w:t>Friuli Centrale, Triestino e Carso Isonzo Ad</w:t>
      </w:r>
      <w:r>
        <w:rPr>
          <w:rFonts w:ascii="DecimaWE Rg" w:hAnsi="DecimaWE Rg"/>
          <w:sz w:val="20"/>
          <w:szCs w:val="20"/>
        </w:rPr>
        <w:t>riatico</w:t>
      </w:r>
      <w:r w:rsidR="00E06FB2">
        <w:rPr>
          <w:rFonts w:ascii="DecimaWE Rg" w:hAnsi="DecimaWE Rg"/>
          <w:sz w:val="20"/>
          <w:szCs w:val="20"/>
        </w:rPr>
        <w:t xml:space="preserve"> dove supera</w:t>
      </w:r>
      <w:r w:rsidR="00D4296D">
        <w:rPr>
          <w:rFonts w:ascii="DecimaWE Rg" w:hAnsi="DecimaWE Rg"/>
          <w:sz w:val="20"/>
          <w:szCs w:val="20"/>
        </w:rPr>
        <w:t xml:space="preserve"> il 6%.</w:t>
      </w:r>
      <w:r>
        <w:rPr>
          <w:rFonts w:ascii="DecimaWE Rg" w:hAnsi="DecimaWE Rg"/>
          <w:sz w:val="20"/>
          <w:szCs w:val="20"/>
        </w:rPr>
        <w:t xml:space="preserve"> </w:t>
      </w:r>
    </w:p>
    <w:p w:rsidR="00D925A9" w:rsidRDefault="009D6A34" w:rsidP="00291810">
      <w:pPr>
        <w:jc w:val="both"/>
        <w:rPr>
          <w:rFonts w:ascii="DecimaWE Rg" w:hAnsi="DecimaWE Rg"/>
          <w:sz w:val="20"/>
          <w:szCs w:val="20"/>
        </w:rPr>
      </w:pPr>
      <w:r w:rsidRPr="00D925A9">
        <w:rPr>
          <w:rFonts w:ascii="DecimaWE Rg" w:hAnsi="DecimaWE Rg"/>
          <w:sz w:val="20"/>
          <w:szCs w:val="20"/>
        </w:rPr>
        <w:t xml:space="preserve">L’incidenza dei beneficiari rispetto ai residenti sembra correlarsi, come anticipato, alle dimensioni del Comune di riferimento, indipendentemente dall’ubicazione territoriale dello stesso: </w:t>
      </w:r>
      <w:r w:rsidR="00D925A9" w:rsidRPr="00D925A9">
        <w:rPr>
          <w:rFonts w:ascii="DecimaWE Rg" w:hAnsi="DecimaWE Rg"/>
          <w:sz w:val="20"/>
          <w:szCs w:val="20"/>
        </w:rPr>
        <w:t>per i comuni fino a 3.000 abitanti si registrano mediamente 1,9 componenti beneficiari di MIA ogni 100 residenti, tale incidenza sale leggermente nei Comuni da 3.000 a 8.000 abitanti (2,3%), per attestarsi intorno al 3,8% nei Comuni al di sopra degli 8.000 abitanti e raggiungere, nei Comuni capoluogo, quote molto più rilevanti: 6,4% a Trieste, 7,7% a Pordenone, 8,3% a Gorizia e addirittura 9,2% nel Comune di Udine.</w:t>
      </w:r>
      <w:r w:rsidR="00D925A9">
        <w:rPr>
          <w:rFonts w:ascii="DecimaWE Rg" w:hAnsi="DecimaWE Rg"/>
          <w:sz w:val="20"/>
          <w:szCs w:val="20"/>
        </w:rPr>
        <w:t xml:space="preserve"> </w:t>
      </w:r>
    </w:p>
    <w:p w:rsidR="00291810" w:rsidRPr="00291810" w:rsidRDefault="00033953" w:rsidP="00291810">
      <w:pPr>
        <w:jc w:val="both"/>
        <w:rPr>
          <w:rFonts w:ascii="DecimaWE Rg" w:hAnsi="DecimaWE Rg"/>
          <w:sz w:val="20"/>
          <w:szCs w:val="20"/>
        </w:rPr>
      </w:pPr>
      <w:r>
        <w:rPr>
          <w:rFonts w:ascii="DecimaWE Rg" w:hAnsi="DecimaWE Rg"/>
          <w:sz w:val="20"/>
          <w:szCs w:val="20"/>
        </w:rPr>
        <w:t xml:space="preserve">I </w:t>
      </w:r>
      <w:r w:rsidR="00291810" w:rsidRPr="00291810">
        <w:rPr>
          <w:rFonts w:ascii="DecimaWE Rg" w:hAnsi="DecimaWE Rg"/>
          <w:sz w:val="20"/>
          <w:szCs w:val="20"/>
        </w:rPr>
        <w:t>20.568 nuclei beneficiari complessivi (dal 2015 al 2018) si concentrano</w:t>
      </w:r>
      <w:r w:rsidR="009D6A34">
        <w:rPr>
          <w:rFonts w:ascii="DecimaWE Rg" w:hAnsi="DecimaWE Rg"/>
          <w:sz w:val="20"/>
          <w:szCs w:val="20"/>
        </w:rPr>
        <w:t xml:space="preserve"> con riferimento all’a</w:t>
      </w:r>
      <w:r w:rsidR="00291810" w:rsidRPr="00291810">
        <w:rPr>
          <w:rFonts w:ascii="DecimaWE Rg" w:hAnsi="DecimaWE Rg"/>
          <w:sz w:val="20"/>
          <w:szCs w:val="20"/>
        </w:rPr>
        <w:t>nnualità di primo ingresso</w:t>
      </w:r>
      <w:r w:rsidR="009D6A34">
        <w:rPr>
          <w:rFonts w:ascii="DecimaWE Rg" w:hAnsi="DecimaWE Rg"/>
          <w:sz w:val="20"/>
          <w:szCs w:val="20"/>
        </w:rPr>
        <w:t xml:space="preserve"> nella misura</w:t>
      </w:r>
      <w:r w:rsidR="00291810" w:rsidRPr="00291810">
        <w:rPr>
          <w:rFonts w:ascii="DecimaWE Rg" w:hAnsi="DecimaWE Rg"/>
          <w:sz w:val="20"/>
          <w:szCs w:val="20"/>
        </w:rPr>
        <w:t xml:space="preserve"> nel 2015 (38% dei nucl</w:t>
      </w:r>
      <w:r w:rsidR="009D6A34">
        <w:rPr>
          <w:rFonts w:ascii="DecimaWE Rg" w:hAnsi="DecimaWE Rg"/>
          <w:sz w:val="20"/>
          <w:szCs w:val="20"/>
        </w:rPr>
        <w:t>ei) e nel 2016 (38% dei nuclei). N</w:t>
      </w:r>
      <w:r w:rsidR="00291810" w:rsidRPr="00291810">
        <w:rPr>
          <w:rFonts w:ascii="DecimaWE Rg" w:hAnsi="DecimaWE Rg"/>
          <w:sz w:val="20"/>
          <w:szCs w:val="20"/>
        </w:rPr>
        <w:t>el</w:t>
      </w:r>
      <w:r w:rsidR="009D6A34">
        <w:rPr>
          <w:rFonts w:ascii="DecimaWE Rg" w:hAnsi="DecimaWE Rg"/>
          <w:sz w:val="20"/>
          <w:szCs w:val="20"/>
        </w:rPr>
        <w:t xml:space="preserve"> corso del 2017 accede al beneficio</w:t>
      </w:r>
      <w:r w:rsidR="00291810" w:rsidRPr="00291810">
        <w:rPr>
          <w:rFonts w:ascii="DecimaWE Rg" w:hAnsi="DecimaWE Rg"/>
          <w:sz w:val="20"/>
          <w:szCs w:val="20"/>
        </w:rPr>
        <w:t xml:space="preserve"> un ulteriore 17% </w:t>
      </w:r>
      <w:r w:rsidR="009D6A34">
        <w:rPr>
          <w:rFonts w:ascii="DecimaWE Rg" w:hAnsi="DecimaWE Rg"/>
          <w:sz w:val="20"/>
          <w:szCs w:val="20"/>
        </w:rPr>
        <w:t>d</w:t>
      </w:r>
      <w:r w:rsidR="00E06FB2">
        <w:rPr>
          <w:rFonts w:ascii="DecimaWE Rg" w:hAnsi="DecimaWE Rg"/>
          <w:sz w:val="20"/>
          <w:szCs w:val="20"/>
        </w:rPr>
        <w:t xml:space="preserve">i nuclei </w:t>
      </w:r>
      <w:r w:rsidR="00291810" w:rsidRPr="00291810">
        <w:rPr>
          <w:rFonts w:ascii="DecimaWE Rg" w:hAnsi="DecimaWE Rg"/>
          <w:sz w:val="20"/>
          <w:szCs w:val="20"/>
        </w:rPr>
        <w:t xml:space="preserve">e nel </w:t>
      </w:r>
      <w:r w:rsidR="009D6A34">
        <w:rPr>
          <w:rFonts w:ascii="DecimaWE Rg" w:hAnsi="DecimaWE Rg"/>
          <w:sz w:val="20"/>
          <w:szCs w:val="20"/>
        </w:rPr>
        <w:t xml:space="preserve">corso del </w:t>
      </w:r>
      <w:r w:rsidR="00291810" w:rsidRPr="00291810">
        <w:rPr>
          <w:rFonts w:ascii="DecimaWE Rg" w:hAnsi="DecimaWE Rg"/>
          <w:sz w:val="20"/>
          <w:szCs w:val="20"/>
        </w:rPr>
        <w:t>2018 il restante 7%.</w:t>
      </w:r>
    </w:p>
    <w:p w:rsidR="00291810" w:rsidRPr="00291810" w:rsidRDefault="009D6A34" w:rsidP="00291810">
      <w:pPr>
        <w:jc w:val="both"/>
        <w:rPr>
          <w:rFonts w:ascii="DecimaWE Rg" w:hAnsi="DecimaWE Rg"/>
          <w:sz w:val="20"/>
          <w:szCs w:val="20"/>
        </w:rPr>
      </w:pPr>
      <w:r>
        <w:rPr>
          <w:rFonts w:ascii="DecimaWE Rg" w:hAnsi="DecimaWE Rg"/>
          <w:sz w:val="20"/>
          <w:szCs w:val="20"/>
        </w:rPr>
        <w:t>Per quanto concerne il periodo di fruizione del beneficio</w:t>
      </w:r>
      <w:r w:rsidR="00033953">
        <w:rPr>
          <w:rFonts w:ascii="DecimaWE Rg" w:hAnsi="DecimaWE Rg"/>
          <w:sz w:val="20"/>
          <w:szCs w:val="20"/>
        </w:rPr>
        <w:t>,</w:t>
      </w:r>
      <w:r>
        <w:rPr>
          <w:rFonts w:ascii="DecimaWE Rg" w:hAnsi="DecimaWE Rg"/>
          <w:sz w:val="20"/>
          <w:szCs w:val="20"/>
        </w:rPr>
        <w:t xml:space="preserve"> a febbraio 2019 il</w:t>
      </w:r>
      <w:r w:rsidR="00E06FB2" w:rsidRPr="00291810">
        <w:rPr>
          <w:rFonts w:ascii="DecimaWE Rg" w:hAnsi="DecimaWE Rg"/>
          <w:sz w:val="20"/>
          <w:szCs w:val="20"/>
        </w:rPr>
        <w:t xml:space="preserve"> 21,6% </w:t>
      </w:r>
      <w:r>
        <w:rPr>
          <w:rFonts w:ascii="DecimaWE Rg" w:hAnsi="DecimaWE Rg"/>
          <w:sz w:val="20"/>
          <w:szCs w:val="20"/>
        </w:rPr>
        <w:t xml:space="preserve">dei nuclei </w:t>
      </w:r>
      <w:r w:rsidR="00E06FB2">
        <w:rPr>
          <w:rFonts w:ascii="DecimaWE Rg" w:hAnsi="DecimaWE Rg"/>
          <w:sz w:val="20"/>
          <w:szCs w:val="20"/>
        </w:rPr>
        <w:t xml:space="preserve">ha ricevuto </w:t>
      </w:r>
      <w:r w:rsidR="00E06FB2" w:rsidRPr="00291810">
        <w:rPr>
          <w:rFonts w:ascii="DecimaWE Rg" w:hAnsi="DecimaWE Rg"/>
          <w:sz w:val="20"/>
          <w:szCs w:val="20"/>
        </w:rPr>
        <w:t>30 mensilità</w:t>
      </w:r>
      <w:r>
        <w:rPr>
          <w:rFonts w:ascii="DecimaWE Rg" w:hAnsi="DecimaWE Rg"/>
          <w:sz w:val="20"/>
          <w:szCs w:val="20"/>
        </w:rPr>
        <w:t>,</w:t>
      </w:r>
      <w:r w:rsidR="00033953">
        <w:rPr>
          <w:rFonts w:ascii="DecimaWE Rg" w:hAnsi="DecimaWE Rg"/>
          <w:sz w:val="20"/>
          <w:szCs w:val="20"/>
        </w:rPr>
        <w:t xml:space="preserve"> ossia</w:t>
      </w:r>
      <w:r>
        <w:rPr>
          <w:rFonts w:ascii="DecimaWE Rg" w:hAnsi="DecimaWE Rg"/>
          <w:sz w:val="20"/>
          <w:szCs w:val="20"/>
        </w:rPr>
        <w:t xml:space="preserve"> il massimo percepibile</w:t>
      </w:r>
      <w:r w:rsidR="00E06FB2">
        <w:rPr>
          <w:rFonts w:ascii="DecimaWE Rg" w:hAnsi="DecimaWE Rg"/>
          <w:sz w:val="20"/>
          <w:szCs w:val="20"/>
        </w:rPr>
        <w:t xml:space="preserve">, </w:t>
      </w:r>
      <w:r w:rsidR="00E06FB2" w:rsidRPr="00291810">
        <w:rPr>
          <w:rFonts w:ascii="DecimaWE Rg" w:hAnsi="DecimaWE Rg"/>
          <w:sz w:val="20"/>
          <w:szCs w:val="20"/>
        </w:rPr>
        <w:t>il 16,5% 20-28 mensilità</w:t>
      </w:r>
      <w:r w:rsidR="00E06FB2">
        <w:rPr>
          <w:rFonts w:ascii="DecimaWE Rg" w:hAnsi="DecimaWE Rg"/>
          <w:sz w:val="20"/>
          <w:szCs w:val="20"/>
        </w:rPr>
        <w:t xml:space="preserve">, </w:t>
      </w:r>
      <w:r>
        <w:rPr>
          <w:rFonts w:ascii="DecimaWE Rg" w:hAnsi="DecimaWE Rg"/>
          <w:sz w:val="20"/>
          <w:szCs w:val="20"/>
        </w:rPr>
        <w:t xml:space="preserve">il </w:t>
      </w:r>
      <w:r w:rsidR="00291810" w:rsidRPr="00291810">
        <w:rPr>
          <w:rFonts w:ascii="DecimaWE Rg" w:hAnsi="DecimaWE Rg"/>
          <w:sz w:val="20"/>
          <w:szCs w:val="20"/>
        </w:rPr>
        <w:t>22,3% dei nuclei beneficiari 14-18 mensilità di beneficio, il 20,2% 12 mensilità,</w:t>
      </w:r>
      <w:r w:rsidR="00E06FB2">
        <w:rPr>
          <w:rFonts w:ascii="DecimaWE Rg" w:hAnsi="DecimaWE Rg"/>
          <w:sz w:val="20"/>
          <w:szCs w:val="20"/>
        </w:rPr>
        <w:t xml:space="preserve"> il 19,5% meno di 12 mensilità</w:t>
      </w:r>
      <w:r w:rsidR="00291810" w:rsidRPr="00291810">
        <w:rPr>
          <w:rFonts w:ascii="DecimaWE Rg" w:hAnsi="DecimaWE Rg"/>
          <w:sz w:val="20"/>
          <w:szCs w:val="20"/>
        </w:rPr>
        <w:t>.</w:t>
      </w:r>
    </w:p>
    <w:p w:rsidR="00033953" w:rsidRDefault="00291810" w:rsidP="00A21EF6">
      <w:pPr>
        <w:jc w:val="both"/>
        <w:rPr>
          <w:rFonts w:ascii="DecimaWE Rg" w:hAnsi="DecimaWE Rg"/>
          <w:sz w:val="20"/>
          <w:szCs w:val="20"/>
        </w:rPr>
      </w:pPr>
      <w:r w:rsidRPr="00291810">
        <w:rPr>
          <w:rFonts w:ascii="DecimaWE Rg" w:hAnsi="DecimaWE Rg"/>
          <w:sz w:val="20"/>
          <w:szCs w:val="20"/>
        </w:rPr>
        <w:t xml:space="preserve">Il </w:t>
      </w:r>
      <w:r w:rsidRPr="006C6AE6">
        <w:rPr>
          <w:rFonts w:ascii="DecimaWE Rg" w:hAnsi="DecimaWE Rg"/>
          <w:b/>
          <w:sz w:val="20"/>
          <w:szCs w:val="20"/>
        </w:rPr>
        <w:t>34%</w:t>
      </w:r>
      <w:r w:rsidRPr="00291810">
        <w:rPr>
          <w:rFonts w:ascii="DecimaWE Rg" w:hAnsi="DecimaWE Rg"/>
          <w:sz w:val="20"/>
          <w:szCs w:val="20"/>
        </w:rPr>
        <w:t xml:space="preserve"> dei nuclei beneficiari è costituito da </w:t>
      </w:r>
      <w:r w:rsidRPr="006C6AE6">
        <w:rPr>
          <w:rFonts w:ascii="DecimaWE Rg" w:hAnsi="DecimaWE Rg"/>
          <w:b/>
          <w:sz w:val="20"/>
          <w:szCs w:val="20"/>
        </w:rPr>
        <w:t>nuclei unipersonali</w:t>
      </w:r>
      <w:r w:rsidRPr="00291810">
        <w:rPr>
          <w:rFonts w:ascii="DecimaWE Rg" w:hAnsi="DecimaWE Rg"/>
          <w:sz w:val="20"/>
          <w:szCs w:val="20"/>
        </w:rPr>
        <w:t xml:space="preserve">, il 18% da nuclei con </w:t>
      </w:r>
      <w:r w:rsidR="00E06FB2">
        <w:rPr>
          <w:rFonts w:ascii="DecimaWE Rg" w:hAnsi="DecimaWE Rg"/>
          <w:sz w:val="20"/>
          <w:szCs w:val="20"/>
        </w:rPr>
        <w:t xml:space="preserve">2 componenti; il </w:t>
      </w:r>
      <w:r w:rsidR="00E06FB2" w:rsidRPr="00033953">
        <w:rPr>
          <w:rFonts w:ascii="DecimaWE Rg" w:hAnsi="DecimaWE Rg"/>
          <w:b/>
          <w:sz w:val="20"/>
          <w:szCs w:val="20"/>
        </w:rPr>
        <w:t>47% dei</w:t>
      </w:r>
      <w:r w:rsidRPr="00033953">
        <w:rPr>
          <w:rFonts w:ascii="DecimaWE Rg" w:hAnsi="DecimaWE Rg"/>
          <w:b/>
          <w:sz w:val="20"/>
          <w:szCs w:val="20"/>
        </w:rPr>
        <w:t xml:space="preserve"> nuclei </w:t>
      </w:r>
      <w:r w:rsidR="00E06FB2" w:rsidRPr="00033953">
        <w:rPr>
          <w:rFonts w:ascii="DecimaWE Rg" w:hAnsi="DecimaWE Rg"/>
          <w:b/>
          <w:sz w:val="20"/>
          <w:szCs w:val="20"/>
        </w:rPr>
        <w:t>ha</w:t>
      </w:r>
      <w:r w:rsidRPr="00033953">
        <w:rPr>
          <w:rFonts w:ascii="DecimaWE Rg" w:hAnsi="DecimaWE Rg"/>
          <w:b/>
          <w:sz w:val="20"/>
          <w:szCs w:val="20"/>
        </w:rPr>
        <w:t xml:space="preserve"> 3 o più componenti</w:t>
      </w:r>
      <w:r w:rsidRPr="00291810">
        <w:rPr>
          <w:rFonts w:ascii="DecimaWE Rg" w:hAnsi="DecimaWE Rg"/>
          <w:sz w:val="20"/>
          <w:szCs w:val="20"/>
        </w:rPr>
        <w:t xml:space="preserve">. </w:t>
      </w:r>
      <w:r w:rsidR="00033953">
        <w:rPr>
          <w:rFonts w:ascii="DecimaWE Rg" w:hAnsi="DecimaWE Rg"/>
          <w:sz w:val="20"/>
          <w:szCs w:val="20"/>
        </w:rPr>
        <w:t xml:space="preserve">I nuclei unipersonali sono rappresentati nel 60% circa dei casi da disoccupati, prevalentemente maschi, italiani (85% dei casi) e con un’età media pari a 51 anni. In generale la misura interessa prevalentemente </w:t>
      </w:r>
      <w:r w:rsidRPr="006C6AE6">
        <w:rPr>
          <w:rFonts w:ascii="DecimaWE Rg" w:hAnsi="DecimaWE Rg"/>
          <w:b/>
          <w:sz w:val="20"/>
          <w:szCs w:val="20"/>
        </w:rPr>
        <w:t xml:space="preserve">nuclei con figli </w:t>
      </w:r>
      <w:r w:rsidRPr="00033953">
        <w:rPr>
          <w:rFonts w:ascii="DecimaWE Rg" w:hAnsi="DecimaWE Rg"/>
          <w:sz w:val="20"/>
          <w:szCs w:val="20"/>
        </w:rPr>
        <w:t>(</w:t>
      </w:r>
      <w:r w:rsidRPr="006C6AE6">
        <w:rPr>
          <w:rFonts w:ascii="DecimaWE Rg" w:hAnsi="DecimaWE Rg"/>
          <w:b/>
          <w:sz w:val="20"/>
          <w:szCs w:val="20"/>
        </w:rPr>
        <w:t>56%</w:t>
      </w:r>
      <w:r w:rsidR="00E06FB2">
        <w:rPr>
          <w:rFonts w:ascii="DecimaWE Rg" w:hAnsi="DecimaWE Rg"/>
          <w:sz w:val="20"/>
          <w:szCs w:val="20"/>
        </w:rPr>
        <w:t xml:space="preserve"> del totale</w:t>
      </w:r>
      <w:r w:rsidRPr="00291810">
        <w:rPr>
          <w:rFonts w:ascii="DecimaWE Rg" w:hAnsi="DecimaWE Rg"/>
          <w:sz w:val="20"/>
          <w:szCs w:val="20"/>
        </w:rPr>
        <w:t>). La quota di nuclei monogenitoriali è stimata intorno al 17%.</w:t>
      </w:r>
      <w:r w:rsidR="00A21EF6" w:rsidRPr="00A21EF6">
        <w:rPr>
          <w:rFonts w:ascii="DecimaWE Rg" w:hAnsi="DecimaWE Rg"/>
          <w:sz w:val="20"/>
          <w:szCs w:val="20"/>
        </w:rPr>
        <w:t xml:space="preserve"> </w:t>
      </w:r>
    </w:p>
    <w:p w:rsidR="00033953" w:rsidRDefault="00A21EF6" w:rsidP="00291810">
      <w:pPr>
        <w:jc w:val="both"/>
        <w:rPr>
          <w:rFonts w:ascii="DecimaWE Rg" w:hAnsi="DecimaWE Rg"/>
          <w:sz w:val="20"/>
          <w:szCs w:val="20"/>
        </w:rPr>
      </w:pPr>
      <w:r>
        <w:rPr>
          <w:rFonts w:ascii="DecimaWE Rg" w:hAnsi="DecimaWE Rg"/>
          <w:sz w:val="20"/>
          <w:szCs w:val="20"/>
        </w:rPr>
        <w:t>La distribuzione per età dei componenti evidenzia che i</w:t>
      </w:r>
      <w:r w:rsidR="00291810" w:rsidRPr="00291810">
        <w:rPr>
          <w:rFonts w:ascii="DecimaWE Rg" w:hAnsi="DecimaWE Rg"/>
          <w:sz w:val="20"/>
          <w:szCs w:val="20"/>
        </w:rPr>
        <w:t xml:space="preserve"> minorenni coinvolti </w:t>
      </w:r>
      <w:r w:rsidR="00E06FB2">
        <w:rPr>
          <w:rFonts w:ascii="DecimaWE Rg" w:hAnsi="DecimaWE Rg"/>
          <w:sz w:val="20"/>
          <w:szCs w:val="20"/>
        </w:rPr>
        <w:t xml:space="preserve">dalla misura </w:t>
      </w:r>
      <w:r w:rsidR="00291810" w:rsidRPr="00291810">
        <w:rPr>
          <w:rFonts w:ascii="DecimaWE Rg" w:hAnsi="DecimaWE Rg"/>
          <w:sz w:val="20"/>
          <w:szCs w:val="20"/>
        </w:rPr>
        <w:t>sono</w:t>
      </w:r>
      <w:r w:rsidR="00E06FB2">
        <w:rPr>
          <w:rFonts w:ascii="DecimaWE Rg" w:hAnsi="DecimaWE Rg"/>
          <w:sz w:val="20"/>
          <w:szCs w:val="20"/>
        </w:rPr>
        <w:t xml:space="preserve"> oltre 18.000</w:t>
      </w:r>
      <w:r w:rsidR="00291810" w:rsidRPr="00291810">
        <w:rPr>
          <w:rFonts w:ascii="DecimaWE Rg" w:hAnsi="DecimaWE Rg"/>
          <w:sz w:val="20"/>
          <w:szCs w:val="20"/>
        </w:rPr>
        <w:t xml:space="preserve"> </w:t>
      </w:r>
      <w:r w:rsidR="00E06FB2">
        <w:rPr>
          <w:rFonts w:ascii="DecimaWE Rg" w:hAnsi="DecimaWE Rg"/>
          <w:sz w:val="20"/>
          <w:szCs w:val="20"/>
        </w:rPr>
        <w:t xml:space="preserve">e rappresentano </w:t>
      </w:r>
      <w:r w:rsidR="00291810" w:rsidRPr="00291810">
        <w:rPr>
          <w:rFonts w:ascii="DecimaWE Rg" w:hAnsi="DecimaWE Rg"/>
          <w:sz w:val="20"/>
          <w:szCs w:val="20"/>
        </w:rPr>
        <w:t>un terzo del totale dei componenti dei nuclei beneficiari</w:t>
      </w:r>
      <w:r w:rsidR="00033953">
        <w:rPr>
          <w:rFonts w:ascii="DecimaWE Rg" w:hAnsi="DecimaWE Rg"/>
          <w:sz w:val="20"/>
          <w:szCs w:val="20"/>
        </w:rPr>
        <w:t>. O</w:t>
      </w:r>
      <w:r w:rsidR="00357563">
        <w:rPr>
          <w:rFonts w:ascii="DecimaWE Rg" w:hAnsi="DecimaWE Rg"/>
          <w:sz w:val="20"/>
          <w:szCs w:val="20"/>
        </w:rPr>
        <w:t>ltre 400, inoltre, sono i bambini nati a seguito dell’ingresso del nucleo nella misura. L</w:t>
      </w:r>
      <w:r w:rsidR="00033953">
        <w:rPr>
          <w:rFonts w:ascii="DecimaWE Rg" w:hAnsi="DecimaWE Rg"/>
          <w:sz w:val="20"/>
          <w:szCs w:val="20"/>
        </w:rPr>
        <w:t>’incidenza rispetto alla</w:t>
      </w:r>
      <w:r w:rsidR="00FD5693">
        <w:rPr>
          <w:rFonts w:ascii="DecimaWE Rg" w:hAnsi="DecimaWE Rg"/>
          <w:sz w:val="20"/>
          <w:szCs w:val="20"/>
        </w:rPr>
        <w:t xml:space="preserve"> relativa popolazione di riferimento </w:t>
      </w:r>
      <w:r w:rsidR="00357563">
        <w:rPr>
          <w:rFonts w:ascii="DecimaWE Rg" w:hAnsi="DecimaWE Rg"/>
          <w:sz w:val="20"/>
          <w:szCs w:val="20"/>
        </w:rPr>
        <w:t>rivela che</w:t>
      </w:r>
      <w:r w:rsidR="00FD5693">
        <w:rPr>
          <w:rFonts w:ascii="DecimaWE Rg" w:hAnsi="DecimaWE Rg"/>
          <w:sz w:val="20"/>
          <w:szCs w:val="20"/>
        </w:rPr>
        <w:t xml:space="preserve"> </w:t>
      </w:r>
      <w:r w:rsidR="00FD5693" w:rsidRPr="006C6AE6">
        <w:rPr>
          <w:rFonts w:ascii="DecimaWE Rg" w:hAnsi="DecimaWE Rg"/>
          <w:b/>
          <w:sz w:val="20"/>
          <w:szCs w:val="20"/>
        </w:rPr>
        <w:t>un minore ogni 10 resid</w:t>
      </w:r>
      <w:r w:rsidR="00357563" w:rsidRPr="006C6AE6">
        <w:rPr>
          <w:rFonts w:ascii="DecimaWE Rg" w:hAnsi="DecimaWE Rg"/>
          <w:b/>
          <w:sz w:val="20"/>
          <w:szCs w:val="20"/>
        </w:rPr>
        <w:t>enti da 0 a 17 anni appartiene</w:t>
      </w:r>
      <w:r w:rsidR="00FD5693" w:rsidRPr="006C6AE6">
        <w:rPr>
          <w:rFonts w:ascii="DecimaWE Rg" w:hAnsi="DecimaWE Rg"/>
          <w:b/>
          <w:sz w:val="20"/>
          <w:szCs w:val="20"/>
        </w:rPr>
        <w:t xml:space="preserve"> a nuclei beneficiari della misura</w:t>
      </w:r>
      <w:r w:rsidR="00291810" w:rsidRPr="00291810">
        <w:rPr>
          <w:rFonts w:ascii="DecimaWE Rg" w:hAnsi="DecimaWE Rg"/>
          <w:sz w:val="20"/>
          <w:szCs w:val="20"/>
        </w:rPr>
        <w:t>.</w:t>
      </w:r>
      <w:r>
        <w:rPr>
          <w:rFonts w:ascii="DecimaWE Rg" w:hAnsi="DecimaWE Rg"/>
          <w:sz w:val="20"/>
          <w:szCs w:val="20"/>
        </w:rPr>
        <w:t xml:space="preserve"> Si rileva anche</w:t>
      </w:r>
      <w:r w:rsidR="00FD5693">
        <w:rPr>
          <w:rFonts w:ascii="DecimaWE Rg" w:hAnsi="DecimaWE Rg"/>
          <w:sz w:val="20"/>
          <w:szCs w:val="20"/>
        </w:rPr>
        <w:t xml:space="preserve"> una quota</w:t>
      </w:r>
      <w:r>
        <w:rPr>
          <w:rFonts w:ascii="DecimaWE Rg" w:hAnsi="DecimaWE Rg"/>
          <w:sz w:val="20"/>
          <w:szCs w:val="20"/>
        </w:rPr>
        <w:t xml:space="preserve"> importante (22%) di componenti beneficiari giovani (18-34 anni), mentre risulta minima (3,9%) l’incidenza di componenti beneficiari</w:t>
      </w:r>
      <w:r w:rsidR="00FD5693">
        <w:rPr>
          <w:rFonts w:ascii="DecimaWE Rg" w:hAnsi="DecimaWE Rg"/>
          <w:sz w:val="20"/>
          <w:szCs w:val="20"/>
        </w:rPr>
        <w:t xml:space="preserve"> </w:t>
      </w:r>
      <w:r>
        <w:rPr>
          <w:rFonts w:ascii="DecimaWE Rg" w:hAnsi="DecimaWE Rg"/>
          <w:sz w:val="20"/>
          <w:szCs w:val="20"/>
        </w:rPr>
        <w:t xml:space="preserve">over 65enni. </w:t>
      </w:r>
    </w:p>
    <w:p w:rsidR="00FD5693" w:rsidRDefault="00A21EF6" w:rsidP="00291810">
      <w:pPr>
        <w:jc w:val="both"/>
        <w:rPr>
          <w:rFonts w:ascii="DecimaWE Rg" w:hAnsi="DecimaWE Rg"/>
          <w:sz w:val="20"/>
          <w:szCs w:val="20"/>
        </w:rPr>
      </w:pPr>
      <w:r>
        <w:rPr>
          <w:rFonts w:ascii="DecimaWE Rg" w:hAnsi="DecimaWE Rg"/>
          <w:sz w:val="20"/>
          <w:szCs w:val="20"/>
        </w:rPr>
        <w:t>La distribuzione dei componenti per sesso risulta abbastanza equilibrata: il 51% dei componenti è femmina mentre il 49% maschio. Prevale la componente femminile (57%) tra i giovani dai 18-34 anni e tra gli over 65enni (57%), mentre prevale quella masc</w:t>
      </w:r>
      <w:r w:rsidR="00033953">
        <w:rPr>
          <w:rFonts w:ascii="DecimaWE Rg" w:hAnsi="DecimaWE Rg"/>
          <w:sz w:val="20"/>
          <w:szCs w:val="20"/>
        </w:rPr>
        <w:t xml:space="preserve">hile (55%) dai 55 ai 64 anni. </w:t>
      </w:r>
    </w:p>
    <w:p w:rsidR="00033953" w:rsidRPr="00291810" w:rsidRDefault="00033953" w:rsidP="00033953">
      <w:pPr>
        <w:jc w:val="both"/>
        <w:rPr>
          <w:rFonts w:ascii="DecimaWE Rg" w:hAnsi="DecimaWE Rg"/>
          <w:sz w:val="20"/>
          <w:szCs w:val="20"/>
        </w:rPr>
      </w:pPr>
      <w:r>
        <w:rPr>
          <w:rFonts w:ascii="DecimaWE Rg" w:hAnsi="DecimaWE Rg"/>
          <w:sz w:val="20"/>
          <w:szCs w:val="20"/>
        </w:rPr>
        <w:t>I nuclei con componenti con disabilità/invalidità</w:t>
      </w:r>
      <w:r>
        <w:rPr>
          <w:rStyle w:val="Rimandonotaapidipagina"/>
          <w:rFonts w:ascii="DecimaWE Rg" w:hAnsi="DecimaWE Rg"/>
          <w:sz w:val="20"/>
          <w:szCs w:val="20"/>
        </w:rPr>
        <w:footnoteReference w:id="3"/>
      </w:r>
      <w:r>
        <w:rPr>
          <w:rFonts w:ascii="DecimaWE Rg" w:hAnsi="DecimaWE Rg"/>
          <w:sz w:val="20"/>
          <w:szCs w:val="20"/>
        </w:rPr>
        <w:t xml:space="preserve"> sono stimati intorno al 15% del totale. </w:t>
      </w:r>
    </w:p>
    <w:p w:rsidR="00376257" w:rsidRDefault="00291810" w:rsidP="00291810">
      <w:pPr>
        <w:jc w:val="both"/>
        <w:rPr>
          <w:rFonts w:ascii="DecimaWE Rg" w:hAnsi="DecimaWE Rg"/>
          <w:sz w:val="20"/>
          <w:szCs w:val="20"/>
        </w:rPr>
      </w:pPr>
      <w:r w:rsidRPr="008E1380">
        <w:rPr>
          <w:rFonts w:ascii="DecimaWE Rg" w:hAnsi="DecimaWE Rg"/>
          <w:sz w:val="20"/>
          <w:szCs w:val="20"/>
        </w:rPr>
        <w:t xml:space="preserve">Il 35% dei nuclei beneficiari ha un ISEE da 0 a 1000, </w:t>
      </w:r>
      <w:r w:rsidR="00E06FB2" w:rsidRPr="008E1380">
        <w:rPr>
          <w:rFonts w:ascii="DecimaWE Rg" w:hAnsi="DecimaWE Rg"/>
          <w:sz w:val="20"/>
          <w:szCs w:val="20"/>
        </w:rPr>
        <w:t xml:space="preserve">il 22,5% da 1000 a 3000 euro, </w:t>
      </w:r>
      <w:r w:rsidR="00376257" w:rsidRPr="008E1380">
        <w:rPr>
          <w:rFonts w:ascii="DecimaWE Rg" w:hAnsi="DecimaWE Rg"/>
          <w:sz w:val="20"/>
          <w:szCs w:val="20"/>
        </w:rPr>
        <w:t xml:space="preserve">il 27,3% da 3000 a 5000 euro, </w:t>
      </w:r>
      <w:r w:rsidRPr="008E1380">
        <w:rPr>
          <w:rFonts w:ascii="DecimaWE Rg" w:hAnsi="DecimaWE Rg"/>
          <w:sz w:val="20"/>
          <w:szCs w:val="20"/>
        </w:rPr>
        <w:t>il 15,2% da 5000 a 6000 euro</w:t>
      </w:r>
      <w:r w:rsidR="00376257" w:rsidRPr="008E1380">
        <w:rPr>
          <w:rFonts w:ascii="DecimaWE Rg" w:hAnsi="DecimaWE Rg"/>
          <w:sz w:val="20"/>
          <w:szCs w:val="20"/>
        </w:rPr>
        <w:t>.</w:t>
      </w:r>
    </w:p>
    <w:p w:rsidR="00291810" w:rsidRPr="00291810" w:rsidRDefault="00291810" w:rsidP="00291810">
      <w:pPr>
        <w:jc w:val="both"/>
        <w:rPr>
          <w:rFonts w:ascii="DecimaWE Rg" w:hAnsi="DecimaWE Rg"/>
          <w:sz w:val="20"/>
          <w:szCs w:val="20"/>
        </w:rPr>
      </w:pPr>
      <w:r w:rsidRPr="00291810">
        <w:rPr>
          <w:rFonts w:ascii="DecimaWE Rg" w:hAnsi="DecimaWE Rg"/>
          <w:sz w:val="20"/>
          <w:szCs w:val="20"/>
        </w:rPr>
        <w:t xml:space="preserve">Il </w:t>
      </w:r>
      <w:r w:rsidRPr="006C6AE6">
        <w:rPr>
          <w:rFonts w:ascii="DecimaWE Rg" w:hAnsi="DecimaWE Rg"/>
          <w:b/>
          <w:sz w:val="20"/>
          <w:szCs w:val="20"/>
        </w:rPr>
        <w:t>58,5% dei nuclei</w:t>
      </w:r>
      <w:r w:rsidRPr="00291810">
        <w:rPr>
          <w:rFonts w:ascii="DecimaWE Rg" w:hAnsi="DecimaWE Rg"/>
          <w:sz w:val="20"/>
          <w:szCs w:val="20"/>
        </w:rPr>
        <w:t xml:space="preserve"> beneficiari sono</w:t>
      </w:r>
      <w:r w:rsidR="00E06FB2">
        <w:rPr>
          <w:rFonts w:ascii="DecimaWE Rg" w:hAnsi="DecimaWE Rg"/>
          <w:sz w:val="20"/>
          <w:szCs w:val="20"/>
        </w:rPr>
        <w:t xml:space="preserve"> composti da</w:t>
      </w:r>
      <w:r w:rsidRPr="00291810">
        <w:rPr>
          <w:rFonts w:ascii="DecimaWE Rg" w:hAnsi="DecimaWE Rg"/>
          <w:sz w:val="20"/>
          <w:szCs w:val="20"/>
        </w:rPr>
        <w:t xml:space="preserve"> </w:t>
      </w:r>
      <w:r w:rsidRPr="006C6AE6">
        <w:rPr>
          <w:rFonts w:ascii="DecimaWE Rg" w:hAnsi="DecimaWE Rg"/>
          <w:b/>
          <w:sz w:val="20"/>
          <w:szCs w:val="20"/>
        </w:rPr>
        <w:t>so</w:t>
      </w:r>
      <w:r w:rsidR="00E06FB2" w:rsidRPr="006C6AE6">
        <w:rPr>
          <w:rFonts w:ascii="DecimaWE Rg" w:hAnsi="DecimaWE Rg"/>
          <w:b/>
          <w:sz w:val="20"/>
          <w:szCs w:val="20"/>
        </w:rPr>
        <w:t>li italiani</w:t>
      </w:r>
      <w:r w:rsidR="00E06FB2">
        <w:rPr>
          <w:rFonts w:ascii="DecimaWE Rg" w:hAnsi="DecimaWE Rg"/>
          <w:sz w:val="20"/>
          <w:szCs w:val="20"/>
        </w:rPr>
        <w:t>, il 29,4% da</w:t>
      </w:r>
      <w:r w:rsidRPr="00291810">
        <w:rPr>
          <w:rFonts w:ascii="DecimaWE Rg" w:hAnsi="DecimaWE Rg"/>
          <w:sz w:val="20"/>
          <w:szCs w:val="20"/>
        </w:rPr>
        <w:t xml:space="preserve"> soli stranieri, il 12,1% sono nuclei misti.</w:t>
      </w:r>
      <w:r w:rsidR="00E06FB2">
        <w:rPr>
          <w:rFonts w:ascii="DecimaWE Rg" w:hAnsi="DecimaWE Rg"/>
          <w:sz w:val="20"/>
          <w:szCs w:val="20"/>
        </w:rPr>
        <w:t xml:space="preserve"> I nuclei stranieri e misti risultano mediamente più numerosi (3,5 componenti per nucleo).</w:t>
      </w:r>
      <w:r w:rsidR="006C6AE6">
        <w:rPr>
          <w:rFonts w:ascii="DecimaWE Rg" w:hAnsi="DecimaWE Rg"/>
          <w:sz w:val="20"/>
          <w:szCs w:val="20"/>
        </w:rPr>
        <w:t xml:space="preserve"> </w:t>
      </w:r>
      <w:r w:rsidRPr="00291810">
        <w:rPr>
          <w:rFonts w:ascii="DecimaWE Rg" w:hAnsi="DecimaWE Rg"/>
          <w:sz w:val="20"/>
          <w:szCs w:val="20"/>
        </w:rPr>
        <w:t>Il 54,6% dei co</w:t>
      </w:r>
      <w:r w:rsidR="00033953">
        <w:rPr>
          <w:rFonts w:ascii="DecimaWE Rg" w:hAnsi="DecimaWE Rg"/>
          <w:sz w:val="20"/>
          <w:szCs w:val="20"/>
        </w:rPr>
        <w:t xml:space="preserve">mponenti </w:t>
      </w:r>
      <w:r w:rsidRPr="00291810">
        <w:rPr>
          <w:rFonts w:ascii="DecimaWE Rg" w:hAnsi="DecimaWE Rg"/>
          <w:sz w:val="20"/>
          <w:szCs w:val="20"/>
        </w:rPr>
        <w:t>(54.101) ha cittadinanza italiana, mentre il 45,4% straniera (di cui il 25% nati in Italia; il 10% nati in altri paesi UE e il 65% in paesi Extra UE).</w:t>
      </w:r>
    </w:p>
    <w:p w:rsidR="00291810" w:rsidRPr="00291810" w:rsidRDefault="00A472BB" w:rsidP="00291810">
      <w:pPr>
        <w:jc w:val="both"/>
        <w:rPr>
          <w:rFonts w:ascii="DecimaWE Rg" w:hAnsi="DecimaWE Rg"/>
          <w:sz w:val="20"/>
          <w:szCs w:val="20"/>
        </w:rPr>
      </w:pPr>
      <w:r>
        <w:rPr>
          <w:rFonts w:ascii="DecimaWE Rg" w:hAnsi="DecimaWE Rg"/>
          <w:sz w:val="20"/>
          <w:szCs w:val="20"/>
        </w:rPr>
        <w:lastRenderedPageBreak/>
        <w:t>La condizione occupazionale</w:t>
      </w:r>
      <w:r w:rsidR="006C6AE6">
        <w:rPr>
          <w:rStyle w:val="Rimandonotaapidipagina"/>
          <w:rFonts w:ascii="DecimaWE Rg" w:hAnsi="DecimaWE Rg"/>
          <w:sz w:val="20"/>
          <w:szCs w:val="20"/>
        </w:rPr>
        <w:footnoteReference w:id="4"/>
      </w:r>
      <w:r>
        <w:rPr>
          <w:rFonts w:ascii="DecimaWE Rg" w:hAnsi="DecimaWE Rg"/>
          <w:sz w:val="20"/>
          <w:szCs w:val="20"/>
        </w:rPr>
        <w:t xml:space="preserve"> dei componenti al momento della presentazione della domanda vede il </w:t>
      </w:r>
      <w:r w:rsidR="00291810" w:rsidRPr="00291810">
        <w:rPr>
          <w:rFonts w:ascii="DecimaWE Rg" w:hAnsi="DecimaWE Rg"/>
          <w:sz w:val="20"/>
          <w:szCs w:val="20"/>
        </w:rPr>
        <w:t>34,1% dei component</w:t>
      </w:r>
      <w:r>
        <w:rPr>
          <w:rFonts w:ascii="DecimaWE Rg" w:hAnsi="DecimaWE Rg"/>
          <w:sz w:val="20"/>
          <w:szCs w:val="20"/>
        </w:rPr>
        <w:t>i qualificarsi</w:t>
      </w:r>
      <w:r w:rsidR="00291810" w:rsidRPr="00291810">
        <w:rPr>
          <w:rFonts w:ascii="DecimaWE Rg" w:hAnsi="DecimaWE Rg"/>
          <w:sz w:val="20"/>
          <w:szCs w:val="20"/>
        </w:rPr>
        <w:t xml:space="preserve"> </w:t>
      </w:r>
      <w:r>
        <w:rPr>
          <w:rFonts w:ascii="DecimaWE Rg" w:hAnsi="DecimaWE Rg"/>
          <w:sz w:val="20"/>
          <w:szCs w:val="20"/>
        </w:rPr>
        <w:t xml:space="preserve">come </w:t>
      </w:r>
      <w:r w:rsidR="00291810" w:rsidRPr="00291810">
        <w:rPr>
          <w:rFonts w:ascii="DecimaWE Rg" w:hAnsi="DecimaWE Rg"/>
          <w:sz w:val="20"/>
          <w:szCs w:val="20"/>
        </w:rPr>
        <w:t>studente</w:t>
      </w:r>
      <w:r>
        <w:rPr>
          <w:rFonts w:ascii="DecimaWE Rg" w:hAnsi="DecimaWE Rg"/>
          <w:sz w:val="20"/>
          <w:szCs w:val="20"/>
        </w:rPr>
        <w:t xml:space="preserve"> (sono ricompresi in questa categoria anche tutti i minori in età prescolare)</w:t>
      </w:r>
      <w:r w:rsidR="00291810" w:rsidRPr="00291810">
        <w:rPr>
          <w:rFonts w:ascii="DecimaWE Rg" w:hAnsi="DecimaWE Rg"/>
          <w:sz w:val="20"/>
          <w:szCs w:val="20"/>
        </w:rPr>
        <w:t>, il 25,8%</w:t>
      </w:r>
      <w:r>
        <w:rPr>
          <w:rFonts w:ascii="DecimaWE Rg" w:hAnsi="DecimaWE Rg"/>
          <w:sz w:val="20"/>
          <w:szCs w:val="20"/>
        </w:rPr>
        <w:t xml:space="preserve"> risulta</w:t>
      </w:r>
      <w:r w:rsidR="00033953">
        <w:rPr>
          <w:rFonts w:ascii="DecimaWE Rg" w:hAnsi="DecimaWE Rg"/>
          <w:sz w:val="20"/>
          <w:szCs w:val="20"/>
        </w:rPr>
        <w:t xml:space="preserve"> disoccupato, </w:t>
      </w:r>
      <w:r w:rsidR="00291810" w:rsidRPr="00291810">
        <w:rPr>
          <w:rFonts w:ascii="DecimaWE Rg" w:hAnsi="DecimaWE Rg"/>
          <w:sz w:val="20"/>
          <w:szCs w:val="20"/>
        </w:rPr>
        <w:t xml:space="preserve">il </w:t>
      </w:r>
      <w:r>
        <w:rPr>
          <w:rFonts w:ascii="DecimaWE Rg" w:hAnsi="DecimaWE Rg"/>
          <w:sz w:val="20"/>
          <w:szCs w:val="20"/>
        </w:rPr>
        <w:t>21,7% occupato, l’8,9% casalingo</w:t>
      </w:r>
      <w:r w:rsidR="00291810" w:rsidRPr="00291810">
        <w:rPr>
          <w:rFonts w:ascii="DecimaWE Rg" w:hAnsi="DecimaWE Rg"/>
          <w:sz w:val="20"/>
          <w:szCs w:val="20"/>
        </w:rPr>
        <w:t>, il 4,5% pensionato.</w:t>
      </w:r>
    </w:p>
    <w:p w:rsidR="00291810" w:rsidRPr="00291810" w:rsidRDefault="00291810" w:rsidP="00291810">
      <w:pPr>
        <w:jc w:val="both"/>
        <w:rPr>
          <w:rFonts w:ascii="DecimaWE Rg" w:hAnsi="DecimaWE Rg"/>
          <w:sz w:val="20"/>
          <w:szCs w:val="20"/>
        </w:rPr>
      </w:pPr>
      <w:r w:rsidRPr="00291810">
        <w:rPr>
          <w:rFonts w:ascii="DecimaWE Rg" w:hAnsi="DecimaWE Rg"/>
          <w:sz w:val="20"/>
          <w:szCs w:val="20"/>
        </w:rPr>
        <w:t xml:space="preserve">Considerando i soli </w:t>
      </w:r>
      <w:r w:rsidRPr="00965019">
        <w:rPr>
          <w:rFonts w:ascii="DecimaWE Rg" w:hAnsi="DecimaWE Rg"/>
          <w:b/>
          <w:sz w:val="20"/>
          <w:szCs w:val="20"/>
        </w:rPr>
        <w:t>componenti in età da lavoro</w:t>
      </w:r>
      <w:r w:rsidR="00033953">
        <w:rPr>
          <w:rFonts w:ascii="DecimaWE Rg" w:hAnsi="DecimaWE Rg"/>
          <w:sz w:val="20"/>
          <w:szCs w:val="20"/>
        </w:rPr>
        <w:t xml:space="preserve"> (15-64 anni) che</w:t>
      </w:r>
      <w:r w:rsidRPr="00291810">
        <w:rPr>
          <w:rFonts w:ascii="DecimaWE Rg" w:hAnsi="DecimaWE Rg"/>
          <w:sz w:val="20"/>
          <w:szCs w:val="20"/>
        </w:rPr>
        <w:t xml:space="preserve"> nel complesso</w:t>
      </w:r>
      <w:r w:rsidR="001A30B0">
        <w:rPr>
          <w:rFonts w:ascii="DecimaWE Rg" w:hAnsi="DecimaWE Rg"/>
          <w:sz w:val="20"/>
          <w:szCs w:val="20"/>
        </w:rPr>
        <w:t xml:space="preserve"> </w:t>
      </w:r>
      <w:r w:rsidR="00033953">
        <w:rPr>
          <w:rFonts w:ascii="DecimaWE Rg" w:hAnsi="DecimaWE Rg"/>
          <w:sz w:val="20"/>
          <w:szCs w:val="20"/>
        </w:rPr>
        <w:t xml:space="preserve">sono </w:t>
      </w:r>
      <w:r w:rsidR="001A30B0">
        <w:rPr>
          <w:rFonts w:ascii="DecimaWE Rg" w:hAnsi="DecimaWE Rg"/>
          <w:sz w:val="20"/>
          <w:szCs w:val="20"/>
        </w:rPr>
        <w:t>pari a</w:t>
      </w:r>
      <w:r w:rsidRPr="00291810">
        <w:rPr>
          <w:rFonts w:ascii="DecimaWE Rg" w:hAnsi="DecimaWE Rg"/>
          <w:sz w:val="20"/>
          <w:szCs w:val="20"/>
        </w:rPr>
        <w:t xml:space="preserve"> 36.130 componenti: il </w:t>
      </w:r>
      <w:r w:rsidRPr="00965019">
        <w:rPr>
          <w:rFonts w:ascii="DecimaWE Rg" w:hAnsi="DecimaWE Rg"/>
          <w:b/>
          <w:sz w:val="20"/>
          <w:szCs w:val="20"/>
        </w:rPr>
        <w:t>37,7% risulta disoccupato</w:t>
      </w:r>
      <w:r w:rsidRPr="00291810">
        <w:rPr>
          <w:rFonts w:ascii="DecimaWE Rg" w:hAnsi="DecimaWE Rg"/>
          <w:sz w:val="20"/>
          <w:szCs w:val="20"/>
        </w:rPr>
        <w:t xml:space="preserve">, il </w:t>
      </w:r>
      <w:r w:rsidRPr="00965019">
        <w:rPr>
          <w:rFonts w:ascii="DecimaWE Rg" w:hAnsi="DecimaWE Rg"/>
          <w:b/>
          <w:sz w:val="20"/>
          <w:szCs w:val="20"/>
        </w:rPr>
        <w:t>32,3% occupato</w:t>
      </w:r>
      <w:r w:rsidRPr="00291810">
        <w:rPr>
          <w:rFonts w:ascii="DecimaWE Rg" w:hAnsi="DecimaWE Rg"/>
          <w:sz w:val="20"/>
          <w:szCs w:val="20"/>
        </w:rPr>
        <w:t xml:space="preserve"> (di cui il 18,6% lavoratore a tempo indeterminato, il 6,8% a tempo determinato, il 6,9% lavoratore autonomo, occasionale, interinale, ecc.), il 7,2% studente, il 12,7% casalinga e il 2,9% pensionato.</w:t>
      </w:r>
      <w:r w:rsidR="00A472BB">
        <w:rPr>
          <w:rFonts w:ascii="DecimaWE Rg" w:hAnsi="DecimaWE Rg"/>
          <w:sz w:val="20"/>
          <w:szCs w:val="20"/>
        </w:rPr>
        <w:t xml:space="preserve"> Si evidenzia una quota importante dei così detti </w:t>
      </w:r>
      <w:r w:rsidR="00A472BB" w:rsidRPr="00A472BB">
        <w:rPr>
          <w:rFonts w:ascii="DecimaWE Rg" w:hAnsi="DecimaWE Rg"/>
          <w:i/>
          <w:sz w:val="20"/>
          <w:szCs w:val="20"/>
        </w:rPr>
        <w:t>working poor,</w:t>
      </w:r>
      <w:r w:rsidR="00A472BB">
        <w:rPr>
          <w:rFonts w:ascii="DecimaWE Rg" w:hAnsi="DecimaWE Rg"/>
          <w:sz w:val="20"/>
          <w:szCs w:val="20"/>
        </w:rPr>
        <w:t xml:space="preserve"> </w:t>
      </w:r>
      <w:r w:rsidR="00033953">
        <w:rPr>
          <w:rFonts w:ascii="DecimaWE Rg" w:hAnsi="DecimaWE Rg"/>
          <w:sz w:val="20"/>
          <w:szCs w:val="20"/>
        </w:rPr>
        <w:t xml:space="preserve">ossia persone </w:t>
      </w:r>
      <w:r w:rsidR="00A472BB">
        <w:rPr>
          <w:rFonts w:ascii="DecimaWE Rg" w:hAnsi="DecimaWE Rg"/>
          <w:sz w:val="20"/>
          <w:szCs w:val="20"/>
        </w:rPr>
        <w:t xml:space="preserve">che pur lavorando, anche a tempo indeterminato, non riescono a garantire al nucleo un livello di reddito sufficiente. </w:t>
      </w:r>
      <w:r w:rsidR="001A30B0">
        <w:rPr>
          <w:rFonts w:ascii="DecimaWE Rg" w:hAnsi="DecimaWE Rg"/>
          <w:sz w:val="20"/>
          <w:szCs w:val="20"/>
        </w:rPr>
        <w:t>Incrociando la condizione occupazionale con la fascia ISEE di accesso alla m</w:t>
      </w:r>
      <w:r w:rsidR="00965019">
        <w:rPr>
          <w:rFonts w:ascii="DecimaWE Rg" w:hAnsi="DecimaWE Rg"/>
          <w:sz w:val="20"/>
          <w:szCs w:val="20"/>
        </w:rPr>
        <w:t>isura è possibile osservare che</w:t>
      </w:r>
      <w:r w:rsidR="001A30B0">
        <w:rPr>
          <w:rFonts w:ascii="DecimaWE Rg" w:hAnsi="DecimaWE Rg"/>
          <w:sz w:val="20"/>
          <w:szCs w:val="20"/>
        </w:rPr>
        <w:t xml:space="preserve"> la maggior </w:t>
      </w:r>
      <w:r w:rsidR="00AB684C">
        <w:rPr>
          <w:rFonts w:ascii="DecimaWE Rg" w:hAnsi="DecimaWE Rg"/>
          <w:sz w:val="20"/>
          <w:szCs w:val="20"/>
        </w:rPr>
        <w:t xml:space="preserve">parte dei </w:t>
      </w:r>
      <w:r w:rsidR="00965019">
        <w:rPr>
          <w:rFonts w:ascii="DecimaWE Rg" w:hAnsi="DecimaWE Rg"/>
          <w:sz w:val="20"/>
          <w:szCs w:val="20"/>
        </w:rPr>
        <w:t>disoccupati (65,9%) si colloca</w:t>
      </w:r>
      <w:r w:rsidR="00033953">
        <w:rPr>
          <w:rFonts w:ascii="DecimaWE Rg" w:hAnsi="DecimaWE Rg"/>
          <w:sz w:val="20"/>
          <w:szCs w:val="20"/>
        </w:rPr>
        <w:t xml:space="preserve"> </w:t>
      </w:r>
      <w:r w:rsidR="00AB684C">
        <w:rPr>
          <w:rFonts w:ascii="DecimaWE Rg" w:hAnsi="DecimaWE Rg"/>
          <w:sz w:val="20"/>
          <w:szCs w:val="20"/>
        </w:rPr>
        <w:t>nella fascia da 0 a 3000 euro di ISEE, mentre gli occupati si dist</w:t>
      </w:r>
      <w:r w:rsidR="00965019">
        <w:rPr>
          <w:rFonts w:ascii="DecimaWE Rg" w:hAnsi="DecimaWE Rg"/>
          <w:sz w:val="20"/>
          <w:szCs w:val="20"/>
        </w:rPr>
        <w:t>ribuiscono tra le diverse fasce:</w:t>
      </w:r>
      <w:r w:rsidR="00AB684C">
        <w:rPr>
          <w:rFonts w:ascii="DecimaWE Rg" w:hAnsi="DecimaWE Rg"/>
          <w:sz w:val="20"/>
          <w:szCs w:val="20"/>
        </w:rPr>
        <w:t xml:space="preserve"> rientrano in quella inferiore ai 3000 euro il 40,9% degli occupati, mentre il 36% si colloca tra i 3000 e i 5000 euro di ISEE, e il 23% nella fascia più alta fino a 6000 euro di ISEE. </w:t>
      </w:r>
    </w:p>
    <w:p w:rsidR="00291810" w:rsidRDefault="00291810" w:rsidP="006435C8">
      <w:pPr>
        <w:spacing w:after="0"/>
        <w:jc w:val="center"/>
        <w:rPr>
          <w:rFonts w:ascii="DecimaWE Rg" w:hAnsi="DecimaWE Rg"/>
          <w:b/>
          <w:sz w:val="24"/>
        </w:rPr>
      </w:pPr>
    </w:p>
    <w:p w:rsidR="00BB7592" w:rsidRDefault="00BB7592" w:rsidP="006435C8">
      <w:pPr>
        <w:spacing w:after="0"/>
        <w:jc w:val="center"/>
        <w:rPr>
          <w:rFonts w:ascii="DecimaWE Rg" w:hAnsi="DecimaWE Rg"/>
          <w:b/>
          <w:sz w:val="24"/>
        </w:rPr>
      </w:pPr>
    </w:p>
    <w:p w:rsidR="00A93475" w:rsidRDefault="00A93475" w:rsidP="00A93475">
      <w:pPr>
        <w:jc w:val="both"/>
        <w:rPr>
          <w:rFonts w:ascii="DecimaWE Rg" w:hAnsi="DecimaWE Rg"/>
          <w:b/>
          <w:sz w:val="20"/>
          <w:szCs w:val="20"/>
        </w:rPr>
      </w:pPr>
      <w:r>
        <w:rPr>
          <w:rFonts w:ascii="DecimaWE Rg" w:hAnsi="DecimaWE Rg"/>
          <w:b/>
          <w:sz w:val="20"/>
          <w:szCs w:val="20"/>
        </w:rPr>
        <w:t>Le caratteristiche della</w:t>
      </w:r>
      <w:r w:rsidRPr="00A93475">
        <w:rPr>
          <w:rFonts w:ascii="DecimaWE Rg" w:hAnsi="DecimaWE Rg"/>
          <w:b/>
          <w:sz w:val="20"/>
          <w:szCs w:val="20"/>
        </w:rPr>
        <w:t xml:space="preserve"> presa in carico</w:t>
      </w:r>
      <w:r>
        <w:rPr>
          <w:rFonts w:ascii="DecimaWE Rg" w:hAnsi="DecimaWE Rg"/>
          <w:b/>
          <w:sz w:val="20"/>
          <w:szCs w:val="20"/>
        </w:rPr>
        <w:t xml:space="preserve"> e i primi esiti della valutazione dei patti di inclusione</w:t>
      </w:r>
    </w:p>
    <w:p w:rsidR="00D83375" w:rsidRDefault="00A93475" w:rsidP="00A93475">
      <w:pPr>
        <w:jc w:val="both"/>
        <w:rPr>
          <w:rFonts w:ascii="DecimaWE Rg" w:hAnsi="DecimaWE Rg"/>
          <w:sz w:val="20"/>
          <w:szCs w:val="20"/>
        </w:rPr>
      </w:pPr>
      <w:r>
        <w:rPr>
          <w:rFonts w:ascii="DecimaWE Rg" w:hAnsi="DecimaWE Rg"/>
          <w:sz w:val="20"/>
          <w:szCs w:val="20"/>
        </w:rPr>
        <w:t>Dei nuclei beneficiari (20.568) l</w:t>
      </w:r>
      <w:r w:rsidR="009D6A34">
        <w:rPr>
          <w:rFonts w:ascii="DecimaWE Rg" w:hAnsi="DecimaWE Rg"/>
          <w:b/>
          <w:sz w:val="20"/>
          <w:szCs w:val="20"/>
        </w:rPr>
        <w:t>’82%</w:t>
      </w:r>
      <w:r w:rsidRPr="008A4871">
        <w:rPr>
          <w:rFonts w:ascii="DecimaWE Rg" w:hAnsi="DecimaWE Rg"/>
          <w:b/>
          <w:sz w:val="20"/>
          <w:szCs w:val="20"/>
        </w:rPr>
        <w:t xml:space="preserve"> risulta avere almeno u</w:t>
      </w:r>
      <w:r w:rsidR="009D6A34">
        <w:rPr>
          <w:rFonts w:ascii="DecimaWE Rg" w:hAnsi="DecimaWE Rg"/>
          <w:b/>
          <w:sz w:val="20"/>
          <w:szCs w:val="20"/>
        </w:rPr>
        <w:t>n progetto di presa in carico (P</w:t>
      </w:r>
      <w:r w:rsidRPr="008A4871">
        <w:rPr>
          <w:rFonts w:ascii="DecimaWE Rg" w:hAnsi="DecimaWE Rg"/>
          <w:b/>
          <w:sz w:val="20"/>
          <w:szCs w:val="20"/>
        </w:rPr>
        <w:t>atto</w:t>
      </w:r>
      <w:r>
        <w:rPr>
          <w:rFonts w:ascii="DecimaWE Rg" w:hAnsi="DecimaWE Rg"/>
          <w:b/>
          <w:sz w:val="20"/>
          <w:szCs w:val="20"/>
        </w:rPr>
        <w:t xml:space="preserve"> di inclusione</w:t>
      </w:r>
      <w:r w:rsidRPr="008A4871">
        <w:rPr>
          <w:rFonts w:ascii="DecimaWE Rg" w:hAnsi="DecimaWE Rg"/>
          <w:b/>
          <w:sz w:val="20"/>
          <w:szCs w:val="20"/>
        </w:rPr>
        <w:t>) inserito a sistema</w:t>
      </w:r>
      <w:r>
        <w:rPr>
          <w:rStyle w:val="Rimandonotaapidipagina"/>
          <w:rFonts w:ascii="DecimaWE Rg" w:hAnsi="DecimaWE Rg"/>
          <w:b/>
          <w:sz w:val="20"/>
          <w:szCs w:val="20"/>
        </w:rPr>
        <w:footnoteReference w:id="5"/>
      </w:r>
      <w:r w:rsidR="00033953">
        <w:rPr>
          <w:rFonts w:ascii="DecimaWE Rg" w:hAnsi="DecimaWE Rg"/>
          <w:b/>
          <w:sz w:val="20"/>
          <w:szCs w:val="20"/>
        </w:rPr>
        <w:t xml:space="preserve">. </w:t>
      </w:r>
      <w:r w:rsidR="00033953" w:rsidRPr="00033953">
        <w:rPr>
          <w:rFonts w:ascii="DecimaWE Rg" w:hAnsi="DecimaWE Rg"/>
          <w:sz w:val="20"/>
          <w:szCs w:val="20"/>
        </w:rPr>
        <w:t>Si tratta dell’</w:t>
      </w:r>
      <w:r>
        <w:rPr>
          <w:rFonts w:ascii="DecimaWE Rg" w:hAnsi="DecimaWE Rg"/>
          <w:sz w:val="20"/>
          <w:szCs w:val="20"/>
        </w:rPr>
        <w:t>aspetto qualificante della misura</w:t>
      </w:r>
      <w:r w:rsidR="000F3AF8">
        <w:rPr>
          <w:rFonts w:ascii="DecimaWE Rg" w:hAnsi="DecimaWE Rg"/>
          <w:sz w:val="20"/>
          <w:szCs w:val="20"/>
        </w:rPr>
        <w:t>,</w:t>
      </w:r>
      <w:r>
        <w:rPr>
          <w:rFonts w:ascii="DecimaWE Rg" w:hAnsi="DecimaWE Rg"/>
          <w:sz w:val="20"/>
          <w:szCs w:val="20"/>
        </w:rPr>
        <w:t xml:space="preserve"> relativo alla progettazione mirata </w:t>
      </w:r>
      <w:r w:rsidR="00914959">
        <w:rPr>
          <w:rFonts w:ascii="DecimaWE Rg" w:hAnsi="DecimaWE Rg"/>
          <w:sz w:val="20"/>
          <w:szCs w:val="20"/>
        </w:rPr>
        <w:t>sul nucleo</w:t>
      </w:r>
      <w:r w:rsidR="000F3AF8">
        <w:rPr>
          <w:rFonts w:ascii="DecimaWE Rg" w:hAnsi="DecimaWE Rg"/>
          <w:sz w:val="20"/>
          <w:szCs w:val="20"/>
        </w:rPr>
        <w:t>,</w:t>
      </w:r>
      <w:r>
        <w:rPr>
          <w:rFonts w:ascii="DecimaWE Rg" w:hAnsi="DecimaWE Rg"/>
          <w:sz w:val="20"/>
          <w:szCs w:val="20"/>
        </w:rPr>
        <w:t xml:space="preserve"> se necessario</w:t>
      </w:r>
      <w:r w:rsidR="00914959">
        <w:rPr>
          <w:rFonts w:ascii="DecimaWE Rg" w:hAnsi="DecimaWE Rg"/>
          <w:sz w:val="20"/>
          <w:szCs w:val="20"/>
        </w:rPr>
        <w:t xml:space="preserve"> condotta secondo una modalità di integrazione</w:t>
      </w:r>
      <w:r w:rsidR="000F3AF8">
        <w:rPr>
          <w:rFonts w:ascii="DecimaWE Rg" w:hAnsi="DecimaWE Rg"/>
          <w:sz w:val="20"/>
          <w:szCs w:val="20"/>
        </w:rPr>
        <w:t xml:space="preserve"> con </w:t>
      </w:r>
      <w:r w:rsidR="00914959">
        <w:rPr>
          <w:rFonts w:ascii="DecimaWE Rg" w:hAnsi="DecimaWE Rg"/>
          <w:sz w:val="20"/>
          <w:szCs w:val="20"/>
        </w:rPr>
        <w:t xml:space="preserve">gli </w:t>
      </w:r>
      <w:r w:rsidR="000F3AF8">
        <w:rPr>
          <w:rFonts w:ascii="DecimaWE Rg" w:hAnsi="DecimaWE Rg"/>
          <w:sz w:val="20"/>
          <w:szCs w:val="20"/>
        </w:rPr>
        <w:t>altri servizi</w:t>
      </w:r>
      <w:r w:rsidR="00033953">
        <w:rPr>
          <w:rFonts w:ascii="DecimaWE Rg" w:hAnsi="DecimaWE Rg"/>
          <w:sz w:val="20"/>
          <w:szCs w:val="20"/>
        </w:rPr>
        <w:t>. In fase di avvio questa dimensione ha evidenziato u</w:t>
      </w:r>
      <w:r>
        <w:rPr>
          <w:rFonts w:ascii="DecimaWE Rg" w:hAnsi="DecimaWE Rg"/>
          <w:sz w:val="20"/>
          <w:szCs w:val="20"/>
        </w:rPr>
        <w:t>na certa sofferenza,</w:t>
      </w:r>
      <w:r w:rsidR="000F3AF8">
        <w:rPr>
          <w:rFonts w:ascii="DecimaWE Rg" w:hAnsi="DecimaWE Rg"/>
          <w:sz w:val="20"/>
          <w:szCs w:val="20"/>
        </w:rPr>
        <w:t xml:space="preserve"> in particolare in alcuni</w:t>
      </w:r>
      <w:r>
        <w:rPr>
          <w:rFonts w:ascii="DecimaWE Rg" w:hAnsi="DecimaWE Rg"/>
          <w:sz w:val="20"/>
          <w:szCs w:val="20"/>
        </w:rPr>
        <w:t xml:space="preserve"> territori, soccombendo al significativo impatto della misura e alla </w:t>
      </w:r>
      <w:r w:rsidR="000F3AF8">
        <w:rPr>
          <w:rFonts w:ascii="DecimaWE Rg" w:hAnsi="DecimaWE Rg"/>
          <w:sz w:val="20"/>
          <w:szCs w:val="20"/>
        </w:rPr>
        <w:t>preponderanza della gestione amministrativa dei beneficiari</w:t>
      </w:r>
      <w:r w:rsidR="00033953">
        <w:rPr>
          <w:rFonts w:ascii="DecimaWE Rg" w:hAnsi="DecimaWE Rg"/>
          <w:sz w:val="20"/>
          <w:szCs w:val="20"/>
        </w:rPr>
        <w:t>. N</w:t>
      </w:r>
      <w:r>
        <w:rPr>
          <w:rFonts w:ascii="DecimaWE Rg" w:hAnsi="DecimaWE Rg"/>
          <w:sz w:val="20"/>
          <w:szCs w:val="20"/>
        </w:rPr>
        <w:t xml:space="preserve">el </w:t>
      </w:r>
      <w:r w:rsidR="00033953">
        <w:rPr>
          <w:rFonts w:ascii="DecimaWE Rg" w:hAnsi="DecimaWE Rg"/>
          <w:sz w:val="20"/>
          <w:szCs w:val="20"/>
        </w:rPr>
        <w:t xml:space="preserve">corso del </w:t>
      </w:r>
      <w:r>
        <w:rPr>
          <w:rFonts w:ascii="DecimaWE Rg" w:hAnsi="DecimaWE Rg"/>
          <w:sz w:val="20"/>
          <w:szCs w:val="20"/>
        </w:rPr>
        <w:t>tempo</w:t>
      </w:r>
      <w:r w:rsidR="00033953">
        <w:rPr>
          <w:rFonts w:ascii="DecimaWE Rg" w:hAnsi="DecimaWE Rg"/>
          <w:sz w:val="20"/>
          <w:szCs w:val="20"/>
        </w:rPr>
        <w:t xml:space="preserve"> si è </w:t>
      </w:r>
      <w:r>
        <w:rPr>
          <w:rFonts w:ascii="DecimaWE Rg" w:hAnsi="DecimaWE Rg"/>
          <w:sz w:val="20"/>
          <w:szCs w:val="20"/>
        </w:rPr>
        <w:t xml:space="preserve">allineata e </w:t>
      </w:r>
      <w:r w:rsidR="000F3AF8">
        <w:rPr>
          <w:rFonts w:ascii="DecimaWE Rg" w:hAnsi="DecimaWE Rg"/>
          <w:sz w:val="20"/>
          <w:szCs w:val="20"/>
        </w:rPr>
        <w:t>qualificata in tutti i contesti evidenziando un impegno notevole da parte degli operatori dei SSC e una capacità di lettura e fronteggiamento delle diverse situazioni di bisogno, nonché di raccordo co</w:t>
      </w:r>
      <w:r w:rsidR="00914959">
        <w:rPr>
          <w:rFonts w:ascii="DecimaWE Rg" w:hAnsi="DecimaWE Rg"/>
          <w:sz w:val="20"/>
          <w:szCs w:val="20"/>
        </w:rPr>
        <w:t>n gli altri soggetti della rete</w:t>
      </w:r>
      <w:r w:rsidR="00033953">
        <w:rPr>
          <w:rFonts w:ascii="DecimaWE Rg" w:hAnsi="DecimaWE Rg"/>
          <w:sz w:val="20"/>
          <w:szCs w:val="20"/>
        </w:rPr>
        <w:t xml:space="preserve"> (in particolare CPI, COR, ma anche Servizi sanitari e Terzo Settore)</w:t>
      </w:r>
      <w:r w:rsidR="000F3AF8">
        <w:rPr>
          <w:rFonts w:ascii="DecimaWE Rg" w:hAnsi="DecimaWE Rg"/>
          <w:sz w:val="20"/>
          <w:szCs w:val="20"/>
        </w:rPr>
        <w:t xml:space="preserve">. </w:t>
      </w:r>
    </w:p>
    <w:p w:rsidR="00DB3570" w:rsidRDefault="000F3AF8" w:rsidP="00A93475">
      <w:pPr>
        <w:jc w:val="both"/>
        <w:rPr>
          <w:rFonts w:ascii="DecimaWE Rg" w:hAnsi="DecimaWE Rg"/>
          <w:sz w:val="20"/>
          <w:szCs w:val="20"/>
        </w:rPr>
      </w:pPr>
      <w:r>
        <w:rPr>
          <w:rFonts w:ascii="DecimaWE Rg" w:hAnsi="DecimaWE Rg"/>
          <w:sz w:val="20"/>
          <w:szCs w:val="20"/>
        </w:rPr>
        <w:t>Alla data di rilevazione risultano complessivamen</w:t>
      </w:r>
      <w:r w:rsidR="00D83375">
        <w:rPr>
          <w:rFonts w:ascii="DecimaWE Rg" w:hAnsi="DecimaWE Rg"/>
          <w:sz w:val="20"/>
          <w:szCs w:val="20"/>
        </w:rPr>
        <w:t>te registrati a sistema circa 25</w:t>
      </w:r>
      <w:r>
        <w:rPr>
          <w:rFonts w:ascii="DecimaWE Rg" w:hAnsi="DecimaWE Rg"/>
          <w:sz w:val="20"/>
          <w:szCs w:val="20"/>
        </w:rPr>
        <w:t>.000 patti di inclusione (un nucleo può infatti avere più di un patto stipulato a sistema, in relazione alla prima istanza di accesso alla misura o ai successivi rinnovi), con una m</w:t>
      </w:r>
      <w:r w:rsidR="0003576E">
        <w:rPr>
          <w:rFonts w:ascii="DecimaWE Rg" w:hAnsi="DecimaWE Rg"/>
          <w:sz w:val="20"/>
          <w:szCs w:val="20"/>
        </w:rPr>
        <w:t xml:space="preserve">edia di 2,5 obiettivi per patto, interessando anche più persone all’interno dello stesso nucleo; i </w:t>
      </w:r>
      <w:r w:rsidR="00D83375">
        <w:rPr>
          <w:rFonts w:ascii="DecimaWE Rg" w:hAnsi="DecimaWE Rg"/>
          <w:sz w:val="20"/>
          <w:szCs w:val="20"/>
        </w:rPr>
        <w:t>componenti per i quali sono stati individuati obiettivi specifici sono il 45,5% del totale; salgono al 65,5% se consideriamo i soli componenti in età da lavoro.</w:t>
      </w:r>
      <w:r w:rsidR="0003576E">
        <w:rPr>
          <w:rFonts w:ascii="DecimaWE Rg" w:hAnsi="DecimaWE Rg"/>
          <w:sz w:val="20"/>
          <w:szCs w:val="20"/>
        </w:rPr>
        <w:t xml:space="preserve"> </w:t>
      </w:r>
    </w:p>
    <w:p w:rsidR="00A93475" w:rsidRPr="00BF235B" w:rsidRDefault="00A93475" w:rsidP="00A93475">
      <w:pPr>
        <w:jc w:val="both"/>
        <w:rPr>
          <w:rFonts w:ascii="DecimaWE Rg" w:hAnsi="DecimaWE Rg"/>
          <w:sz w:val="20"/>
          <w:szCs w:val="20"/>
        </w:rPr>
      </w:pPr>
      <w:r w:rsidRPr="00BF235B">
        <w:rPr>
          <w:rFonts w:ascii="DecimaWE Rg" w:hAnsi="DecimaWE Rg"/>
          <w:sz w:val="20"/>
          <w:szCs w:val="20"/>
        </w:rPr>
        <w:t xml:space="preserve">Il </w:t>
      </w:r>
      <w:r w:rsidRPr="008A4871">
        <w:rPr>
          <w:rFonts w:ascii="DecimaWE Rg" w:hAnsi="DecimaWE Rg"/>
          <w:b/>
          <w:sz w:val="20"/>
          <w:szCs w:val="20"/>
        </w:rPr>
        <w:t>38% dei nuclei</w:t>
      </w:r>
      <w:r>
        <w:rPr>
          <w:rFonts w:ascii="DecimaWE Rg" w:hAnsi="DecimaWE Rg"/>
          <w:sz w:val="20"/>
          <w:szCs w:val="20"/>
        </w:rPr>
        <w:t xml:space="preserve"> evidenzia una</w:t>
      </w:r>
      <w:r w:rsidRPr="00BF235B">
        <w:rPr>
          <w:rFonts w:ascii="DecimaWE Rg" w:hAnsi="DecimaWE Rg"/>
          <w:sz w:val="20"/>
          <w:szCs w:val="20"/>
        </w:rPr>
        <w:t xml:space="preserve"> presa in carico caratterizzata da </w:t>
      </w:r>
      <w:r w:rsidRPr="008A4871">
        <w:rPr>
          <w:rFonts w:ascii="DecimaWE Rg" w:hAnsi="DecimaWE Rg"/>
          <w:b/>
          <w:sz w:val="20"/>
          <w:szCs w:val="20"/>
        </w:rPr>
        <w:t>obiettivi esclusivamente sociali</w:t>
      </w:r>
      <w:r w:rsidR="005065D1">
        <w:rPr>
          <w:rFonts w:ascii="DecimaWE Rg" w:hAnsi="DecimaWE Rg"/>
          <w:sz w:val="20"/>
          <w:szCs w:val="20"/>
        </w:rPr>
        <w:t xml:space="preserve">. L’area abitativa, </w:t>
      </w:r>
      <w:r w:rsidR="00914959">
        <w:rPr>
          <w:rFonts w:ascii="DecimaWE Rg" w:hAnsi="DecimaWE Rg"/>
          <w:sz w:val="20"/>
          <w:szCs w:val="20"/>
        </w:rPr>
        <w:t xml:space="preserve">con </w:t>
      </w:r>
      <w:r>
        <w:rPr>
          <w:rFonts w:ascii="DecimaWE Rg" w:hAnsi="DecimaWE Rg"/>
          <w:sz w:val="20"/>
          <w:szCs w:val="20"/>
        </w:rPr>
        <w:t>obiettivi specifici relativi</w:t>
      </w:r>
      <w:r w:rsidR="00914959">
        <w:rPr>
          <w:rFonts w:ascii="DecimaWE Rg" w:hAnsi="DecimaWE Rg"/>
          <w:sz w:val="20"/>
          <w:szCs w:val="20"/>
        </w:rPr>
        <w:t>,</w:t>
      </w:r>
      <w:r>
        <w:rPr>
          <w:rFonts w:ascii="DecimaWE Rg" w:hAnsi="DecimaWE Rg"/>
          <w:sz w:val="20"/>
          <w:szCs w:val="20"/>
        </w:rPr>
        <w:t xml:space="preserve"> </w:t>
      </w:r>
      <w:r w:rsidR="00695E51">
        <w:rPr>
          <w:rFonts w:ascii="DecimaWE Rg" w:hAnsi="DecimaWE Rg"/>
          <w:sz w:val="20"/>
          <w:szCs w:val="20"/>
        </w:rPr>
        <w:t>in particolare</w:t>
      </w:r>
      <w:r w:rsidR="00914959">
        <w:rPr>
          <w:rFonts w:ascii="DecimaWE Rg" w:hAnsi="DecimaWE Rg"/>
          <w:sz w:val="20"/>
          <w:szCs w:val="20"/>
        </w:rPr>
        <w:t>,</w:t>
      </w:r>
      <w:r w:rsidR="00695E51">
        <w:rPr>
          <w:rFonts w:ascii="DecimaWE Rg" w:hAnsi="DecimaWE Rg"/>
          <w:sz w:val="20"/>
          <w:szCs w:val="20"/>
        </w:rPr>
        <w:t xml:space="preserve"> </w:t>
      </w:r>
      <w:r>
        <w:rPr>
          <w:rFonts w:ascii="DecimaWE Rg" w:hAnsi="DecimaWE Rg"/>
          <w:sz w:val="20"/>
          <w:szCs w:val="20"/>
        </w:rPr>
        <w:t>al pagamento di utenze e affitti</w:t>
      </w:r>
      <w:r w:rsidR="00695E51">
        <w:rPr>
          <w:rFonts w:ascii="DecimaWE Rg" w:hAnsi="DecimaWE Rg"/>
          <w:sz w:val="20"/>
          <w:szCs w:val="20"/>
        </w:rPr>
        <w:t xml:space="preserve"> per evitare le insolvenze</w:t>
      </w:r>
      <w:r w:rsidR="005065D1">
        <w:rPr>
          <w:rFonts w:ascii="DecimaWE Rg" w:hAnsi="DecimaWE Rg"/>
          <w:sz w:val="20"/>
          <w:szCs w:val="20"/>
        </w:rPr>
        <w:t>,</w:t>
      </w:r>
      <w:r w:rsidR="00A5186C">
        <w:rPr>
          <w:rFonts w:ascii="DecimaWE Rg" w:hAnsi="DecimaWE Rg"/>
          <w:sz w:val="20"/>
          <w:szCs w:val="20"/>
        </w:rPr>
        <w:t xml:space="preserve"> risulta la </w:t>
      </w:r>
      <w:r>
        <w:rPr>
          <w:rFonts w:ascii="DecimaWE Rg" w:hAnsi="DecimaWE Rg"/>
          <w:sz w:val="20"/>
          <w:szCs w:val="20"/>
        </w:rPr>
        <w:t>prevalente in assoluto e caratterizza qu</w:t>
      </w:r>
      <w:r w:rsidR="00695E51">
        <w:rPr>
          <w:rFonts w:ascii="DecimaWE Rg" w:hAnsi="DecimaWE Rg"/>
          <w:sz w:val="20"/>
          <w:szCs w:val="20"/>
        </w:rPr>
        <w:t>asi l’80% delle prese in carico,</w:t>
      </w:r>
      <w:r>
        <w:rPr>
          <w:rFonts w:ascii="DecimaWE Rg" w:hAnsi="DecimaWE Rg"/>
          <w:sz w:val="20"/>
          <w:szCs w:val="20"/>
        </w:rPr>
        <w:t xml:space="preserve"> da sola o associata ad altri obiettivi in area sociale</w:t>
      </w:r>
      <w:r w:rsidR="00695E51">
        <w:rPr>
          <w:rFonts w:ascii="DecimaWE Rg" w:hAnsi="DecimaWE Rg"/>
          <w:sz w:val="20"/>
          <w:szCs w:val="20"/>
        </w:rPr>
        <w:t xml:space="preserve"> o in area lavoro e/o formazione e orientamento</w:t>
      </w:r>
      <w:r w:rsidR="005065D1">
        <w:rPr>
          <w:rFonts w:ascii="DecimaWE Rg" w:hAnsi="DecimaWE Rg"/>
          <w:sz w:val="20"/>
          <w:szCs w:val="20"/>
        </w:rPr>
        <w:t>. Altri obiettivi sociali ricorrenti sono quelli relativi</w:t>
      </w:r>
      <w:r w:rsidR="000F3AF8">
        <w:rPr>
          <w:rFonts w:ascii="DecimaWE Rg" w:hAnsi="DecimaWE Rg"/>
          <w:sz w:val="20"/>
          <w:szCs w:val="20"/>
        </w:rPr>
        <w:t xml:space="preserve"> al</w:t>
      </w:r>
      <w:r w:rsidR="00695E51">
        <w:rPr>
          <w:rFonts w:ascii="DecimaWE Rg" w:hAnsi="DecimaWE Rg"/>
          <w:sz w:val="20"/>
          <w:szCs w:val="20"/>
        </w:rPr>
        <w:t xml:space="preserve"> potenziamento delle competenze genitoriali</w:t>
      </w:r>
      <w:r w:rsidR="005065D1">
        <w:rPr>
          <w:rFonts w:ascii="DecimaWE Rg" w:hAnsi="DecimaWE Rg"/>
          <w:sz w:val="20"/>
          <w:szCs w:val="20"/>
        </w:rPr>
        <w:t xml:space="preserve"> e del ruolo educativo e di cura</w:t>
      </w:r>
      <w:r w:rsidR="0003576E">
        <w:rPr>
          <w:rFonts w:ascii="DecimaWE Rg" w:hAnsi="DecimaWE Rg"/>
          <w:sz w:val="20"/>
          <w:szCs w:val="20"/>
        </w:rPr>
        <w:t xml:space="preserve"> (23% dei patti)</w:t>
      </w:r>
      <w:r w:rsidR="00695E51">
        <w:rPr>
          <w:rFonts w:ascii="DecimaWE Rg" w:hAnsi="DecimaWE Rg"/>
          <w:sz w:val="20"/>
          <w:szCs w:val="20"/>
        </w:rPr>
        <w:t>; all’area socio relazionale e dell’autonomia personale</w:t>
      </w:r>
      <w:r w:rsidR="0003576E">
        <w:rPr>
          <w:rFonts w:ascii="DecimaWE Rg" w:hAnsi="DecimaWE Rg"/>
          <w:sz w:val="20"/>
          <w:szCs w:val="20"/>
        </w:rPr>
        <w:t xml:space="preserve"> (37% dei patti)</w:t>
      </w:r>
      <w:r w:rsidR="00695E51">
        <w:rPr>
          <w:rFonts w:ascii="DecimaWE Rg" w:hAnsi="DecimaWE Rg"/>
          <w:sz w:val="20"/>
          <w:szCs w:val="20"/>
        </w:rPr>
        <w:t>, con obiettivi</w:t>
      </w:r>
      <w:r w:rsidR="00A5186C">
        <w:rPr>
          <w:rFonts w:ascii="DecimaWE Rg" w:hAnsi="DecimaWE Rg"/>
          <w:sz w:val="20"/>
          <w:szCs w:val="20"/>
        </w:rPr>
        <w:t>, per gli individui più fragili,</w:t>
      </w:r>
      <w:r w:rsidR="00695E51">
        <w:rPr>
          <w:rFonts w:ascii="DecimaWE Rg" w:hAnsi="DecimaWE Rg"/>
          <w:sz w:val="20"/>
          <w:szCs w:val="20"/>
        </w:rPr>
        <w:t xml:space="preserve"> di semplice soddisfacimento delle esigenze primarie della vita quotidiana piuttosto che di mantenimento e recupero del proprio stato di salute; o all’area dell’esigibilità dei diritti previdenziali</w:t>
      </w:r>
      <w:r w:rsidR="00A5186C">
        <w:rPr>
          <w:rFonts w:ascii="DecimaWE Rg" w:hAnsi="DecimaWE Rg"/>
          <w:sz w:val="20"/>
          <w:szCs w:val="20"/>
        </w:rPr>
        <w:t xml:space="preserve"> e assistenziali</w:t>
      </w:r>
      <w:r w:rsidR="0003576E">
        <w:rPr>
          <w:rFonts w:ascii="DecimaWE Rg" w:hAnsi="DecimaWE Rg"/>
          <w:sz w:val="20"/>
          <w:szCs w:val="20"/>
        </w:rPr>
        <w:t xml:space="preserve"> (5% dei patti)</w:t>
      </w:r>
      <w:r w:rsidR="00A5186C">
        <w:rPr>
          <w:rFonts w:ascii="DecimaWE Rg" w:hAnsi="DecimaWE Rg"/>
          <w:sz w:val="20"/>
          <w:szCs w:val="20"/>
        </w:rPr>
        <w:t>, con azioni orientate al</w:t>
      </w:r>
      <w:r w:rsidR="00695E51">
        <w:rPr>
          <w:rFonts w:ascii="DecimaWE Rg" w:hAnsi="DecimaWE Rg"/>
          <w:sz w:val="20"/>
          <w:szCs w:val="20"/>
        </w:rPr>
        <w:t>l’ottenimento dei diversi benefici</w:t>
      </w:r>
      <w:r w:rsidR="0003576E">
        <w:rPr>
          <w:rFonts w:ascii="DecimaWE Rg" w:hAnsi="DecimaWE Rg"/>
          <w:sz w:val="20"/>
          <w:szCs w:val="20"/>
        </w:rPr>
        <w:t>, o ancora all’area socio riabilitativa (3% dei patti)</w:t>
      </w:r>
      <w:r>
        <w:rPr>
          <w:rFonts w:ascii="DecimaWE Rg" w:hAnsi="DecimaWE Rg"/>
          <w:sz w:val="20"/>
          <w:szCs w:val="20"/>
        </w:rPr>
        <w:t xml:space="preserve">. </w:t>
      </w:r>
    </w:p>
    <w:p w:rsidR="006C6AE6" w:rsidRPr="00C9189B" w:rsidRDefault="00A5186C" w:rsidP="00A93475">
      <w:pPr>
        <w:jc w:val="both"/>
        <w:rPr>
          <w:rFonts w:ascii="DecimaWE Rg" w:hAnsi="DecimaWE Rg"/>
          <w:sz w:val="20"/>
          <w:szCs w:val="20"/>
        </w:rPr>
      </w:pPr>
      <w:r w:rsidRPr="00C9189B">
        <w:rPr>
          <w:rFonts w:ascii="DecimaWE Rg" w:hAnsi="DecimaWE Rg"/>
          <w:sz w:val="20"/>
          <w:szCs w:val="20"/>
        </w:rPr>
        <w:t>Per il</w:t>
      </w:r>
      <w:r w:rsidR="00A93475" w:rsidRPr="00C9189B">
        <w:rPr>
          <w:rFonts w:ascii="DecimaWE Rg" w:hAnsi="DecimaWE Rg"/>
          <w:sz w:val="20"/>
          <w:szCs w:val="20"/>
        </w:rPr>
        <w:t xml:space="preserve"> </w:t>
      </w:r>
      <w:r w:rsidR="00A93475" w:rsidRPr="00C9189B">
        <w:rPr>
          <w:rFonts w:ascii="DecimaWE Rg" w:hAnsi="DecimaWE Rg"/>
          <w:b/>
          <w:sz w:val="20"/>
          <w:szCs w:val="20"/>
        </w:rPr>
        <w:t>43% dei nuclei</w:t>
      </w:r>
      <w:r w:rsidRPr="00C9189B">
        <w:rPr>
          <w:rFonts w:ascii="DecimaWE Rg" w:hAnsi="DecimaWE Rg"/>
          <w:sz w:val="20"/>
          <w:szCs w:val="20"/>
        </w:rPr>
        <w:t xml:space="preserve"> l</w:t>
      </w:r>
      <w:r w:rsidR="00A93475" w:rsidRPr="00C9189B">
        <w:rPr>
          <w:rFonts w:ascii="DecimaWE Rg" w:hAnsi="DecimaWE Rg"/>
          <w:sz w:val="20"/>
          <w:szCs w:val="20"/>
        </w:rPr>
        <w:t xml:space="preserve">a presa in carico </w:t>
      </w:r>
      <w:r w:rsidRPr="00C9189B">
        <w:rPr>
          <w:rFonts w:ascii="DecimaWE Rg" w:hAnsi="DecimaWE Rg"/>
          <w:sz w:val="20"/>
          <w:szCs w:val="20"/>
        </w:rPr>
        <w:t xml:space="preserve">risulta invece integrata e </w:t>
      </w:r>
      <w:r w:rsidR="00A93475" w:rsidRPr="00C9189B">
        <w:rPr>
          <w:rFonts w:ascii="DecimaWE Rg" w:hAnsi="DecimaWE Rg"/>
          <w:sz w:val="20"/>
          <w:szCs w:val="20"/>
        </w:rPr>
        <w:t xml:space="preserve">caratterizzata </w:t>
      </w:r>
      <w:r w:rsidR="00A93475" w:rsidRPr="00C9189B">
        <w:rPr>
          <w:rFonts w:ascii="DecimaWE Rg" w:hAnsi="DecimaWE Rg"/>
          <w:b/>
          <w:sz w:val="20"/>
          <w:szCs w:val="20"/>
        </w:rPr>
        <w:t xml:space="preserve">anche </w:t>
      </w:r>
      <w:r w:rsidR="00A93475" w:rsidRPr="00C9189B">
        <w:rPr>
          <w:rFonts w:ascii="DecimaWE Rg" w:hAnsi="DecimaWE Rg"/>
          <w:sz w:val="20"/>
          <w:szCs w:val="20"/>
        </w:rPr>
        <w:t xml:space="preserve">da </w:t>
      </w:r>
      <w:r w:rsidR="00A93475" w:rsidRPr="00C9189B">
        <w:rPr>
          <w:rFonts w:ascii="DecimaWE Rg" w:hAnsi="DecimaWE Rg"/>
          <w:b/>
          <w:sz w:val="20"/>
          <w:szCs w:val="20"/>
        </w:rPr>
        <w:t>obiettivi lavoristici e/o formativi e di orientamento</w:t>
      </w:r>
      <w:r w:rsidR="00A93475" w:rsidRPr="00C9189B">
        <w:rPr>
          <w:rFonts w:ascii="DecimaWE Rg" w:hAnsi="DecimaWE Rg"/>
          <w:sz w:val="20"/>
          <w:szCs w:val="20"/>
        </w:rPr>
        <w:t xml:space="preserve"> (è qui compresa anche la quota dei nuclei i cui progetti di presa in carico contemplano obiettivi esclusivamente la</w:t>
      </w:r>
      <w:r w:rsidRPr="00C9189B">
        <w:rPr>
          <w:rFonts w:ascii="DecimaWE Rg" w:hAnsi="DecimaWE Rg"/>
          <w:sz w:val="20"/>
          <w:szCs w:val="20"/>
        </w:rPr>
        <w:t>voristici pari al 7% del totale). L’integrazione tra SSC e CPI e COR</w:t>
      </w:r>
      <w:r w:rsidR="006C6AE6" w:rsidRPr="00C9189B">
        <w:rPr>
          <w:rFonts w:ascii="DecimaWE Rg" w:hAnsi="DecimaWE Rg"/>
          <w:sz w:val="20"/>
          <w:szCs w:val="20"/>
        </w:rPr>
        <w:t>,</w:t>
      </w:r>
      <w:r w:rsidRPr="00C9189B">
        <w:rPr>
          <w:rFonts w:ascii="DecimaWE Rg" w:hAnsi="DecimaWE Rg"/>
          <w:sz w:val="20"/>
          <w:szCs w:val="20"/>
        </w:rPr>
        <w:t xml:space="preserve"> che pur dalle evi</w:t>
      </w:r>
      <w:r w:rsidR="006C6AE6" w:rsidRPr="00C9189B">
        <w:rPr>
          <w:rFonts w:ascii="DecimaWE Rg" w:hAnsi="DecimaWE Rg"/>
          <w:sz w:val="20"/>
          <w:szCs w:val="20"/>
        </w:rPr>
        <w:t>denze riportate dai S</w:t>
      </w:r>
      <w:r w:rsidRPr="00C9189B">
        <w:rPr>
          <w:rFonts w:ascii="DecimaWE Rg" w:hAnsi="DecimaWE Rg"/>
          <w:sz w:val="20"/>
          <w:szCs w:val="20"/>
        </w:rPr>
        <w:t xml:space="preserve">ervizi sembra essersi realizzata nel concreto </w:t>
      </w:r>
      <w:r w:rsidR="0077373B" w:rsidRPr="00C9189B">
        <w:rPr>
          <w:rFonts w:ascii="DecimaWE Rg" w:hAnsi="DecimaWE Rg"/>
          <w:sz w:val="20"/>
          <w:szCs w:val="20"/>
        </w:rPr>
        <w:t xml:space="preserve">per la </w:t>
      </w:r>
      <w:r w:rsidRPr="00C9189B">
        <w:rPr>
          <w:rFonts w:ascii="DecimaWE Rg" w:hAnsi="DecimaWE Rg"/>
          <w:sz w:val="20"/>
          <w:szCs w:val="20"/>
        </w:rPr>
        <w:t>maggior parte dei nuclei con obiettivi in area lavoristica o formativa, quantomeno a livello di valutazione integrata, risulta formalizzata e registrata a sistema per una quota significativamente inferiore di progetti</w:t>
      </w:r>
      <w:r w:rsidR="00A93475" w:rsidRPr="00C9189B">
        <w:rPr>
          <w:rFonts w:ascii="DecimaWE Rg" w:hAnsi="DecimaWE Rg"/>
          <w:sz w:val="20"/>
          <w:szCs w:val="20"/>
        </w:rPr>
        <w:t xml:space="preserve">. </w:t>
      </w:r>
    </w:p>
    <w:p w:rsidR="00A93475" w:rsidRPr="00C9189B" w:rsidRDefault="006C6AE6" w:rsidP="00A93475">
      <w:pPr>
        <w:jc w:val="both"/>
        <w:rPr>
          <w:rFonts w:ascii="DecimaWE Rg" w:hAnsi="DecimaWE Rg"/>
          <w:sz w:val="20"/>
          <w:szCs w:val="20"/>
        </w:rPr>
      </w:pPr>
      <w:r w:rsidRPr="00C9189B">
        <w:rPr>
          <w:rFonts w:ascii="DecimaWE Rg" w:hAnsi="DecimaWE Rg"/>
          <w:sz w:val="20"/>
          <w:szCs w:val="20"/>
        </w:rPr>
        <w:t>Si rileva inoltre</w:t>
      </w:r>
      <w:r w:rsidR="00A5186C" w:rsidRPr="00C9189B">
        <w:rPr>
          <w:rFonts w:ascii="DecimaWE Rg" w:hAnsi="DecimaWE Rg"/>
          <w:sz w:val="20"/>
          <w:szCs w:val="20"/>
        </w:rPr>
        <w:t xml:space="preserve"> che la</w:t>
      </w:r>
      <w:r w:rsidR="00A93475" w:rsidRPr="00C9189B">
        <w:rPr>
          <w:rFonts w:ascii="DecimaWE Rg" w:hAnsi="DecimaWE Rg"/>
          <w:sz w:val="20"/>
          <w:szCs w:val="20"/>
        </w:rPr>
        <w:t xml:space="preserve"> progettazione</w:t>
      </w:r>
      <w:r w:rsidR="00A5186C" w:rsidRPr="00C9189B">
        <w:rPr>
          <w:rFonts w:ascii="DecimaWE Rg" w:hAnsi="DecimaWE Rg"/>
          <w:sz w:val="20"/>
          <w:szCs w:val="20"/>
        </w:rPr>
        <w:t xml:space="preserve"> sui nuclei</w:t>
      </w:r>
      <w:r w:rsidR="00A93475" w:rsidRPr="00C9189B">
        <w:rPr>
          <w:rFonts w:ascii="DecimaWE Rg" w:hAnsi="DecimaWE Rg"/>
          <w:sz w:val="20"/>
          <w:szCs w:val="20"/>
        </w:rPr>
        <w:t xml:space="preserve"> assume caratteristiche differenziate sul territorio, con territori come l’Agro Aquileiese, Riviera Bassa </w:t>
      </w:r>
      <w:r w:rsidR="0003576E">
        <w:rPr>
          <w:rFonts w:ascii="DecimaWE Rg" w:hAnsi="DecimaWE Rg"/>
          <w:sz w:val="20"/>
          <w:szCs w:val="20"/>
        </w:rPr>
        <w:t>Friulana, Noncello e Medio Friul</w:t>
      </w:r>
      <w:r w:rsidR="00A93475" w:rsidRPr="00C9189B">
        <w:rPr>
          <w:rFonts w:ascii="DecimaWE Rg" w:hAnsi="DecimaWE Rg"/>
          <w:sz w:val="20"/>
          <w:szCs w:val="20"/>
        </w:rPr>
        <w:t>i che hanno improntato maggiorme</w:t>
      </w:r>
      <w:r w:rsidR="00A5186C" w:rsidRPr="00C9189B">
        <w:rPr>
          <w:rFonts w:ascii="DecimaWE Rg" w:hAnsi="DecimaWE Rg"/>
          <w:sz w:val="20"/>
          <w:szCs w:val="20"/>
        </w:rPr>
        <w:t>nte i patti in ottica integrata e</w:t>
      </w:r>
      <w:r w:rsidR="00A93475" w:rsidRPr="00C9189B">
        <w:rPr>
          <w:rFonts w:ascii="DecimaWE Rg" w:hAnsi="DecimaWE Rg"/>
          <w:sz w:val="20"/>
          <w:szCs w:val="20"/>
        </w:rPr>
        <w:t xml:space="preserve"> </w:t>
      </w:r>
      <w:r w:rsidR="00A93475" w:rsidRPr="00C9189B">
        <w:rPr>
          <w:rFonts w:ascii="DecimaWE Rg" w:hAnsi="DecimaWE Rg"/>
          <w:sz w:val="20"/>
          <w:szCs w:val="20"/>
        </w:rPr>
        <w:lastRenderedPageBreak/>
        <w:t>altri territori dove la progettazione contiene invece in prevalenza obiettivi in area sociale.</w:t>
      </w:r>
      <w:r w:rsidR="00A5186C" w:rsidRPr="00C9189B">
        <w:rPr>
          <w:rFonts w:ascii="DecimaWE Rg" w:hAnsi="DecimaWE Rg"/>
          <w:sz w:val="20"/>
          <w:szCs w:val="20"/>
        </w:rPr>
        <w:t xml:space="preserve"> Le motivazioni legate alla differente declinazione progettuale sono da correlarsi sia alle caratteristiche del target di riferimento, sia alle modalità di raccordo e integrazione tra i servizi, più o meno consolidate, sia all</w:t>
      </w:r>
      <w:r w:rsidR="00656B1C" w:rsidRPr="00C9189B">
        <w:rPr>
          <w:rFonts w:ascii="DecimaWE Rg" w:hAnsi="DecimaWE Rg"/>
          <w:sz w:val="20"/>
          <w:szCs w:val="20"/>
        </w:rPr>
        <w:t>a maggiore o minore presenza di</w:t>
      </w:r>
      <w:r w:rsidR="00A5186C" w:rsidRPr="00C9189B">
        <w:rPr>
          <w:rFonts w:ascii="DecimaWE Rg" w:hAnsi="DecimaWE Rg"/>
          <w:sz w:val="20"/>
          <w:szCs w:val="20"/>
        </w:rPr>
        <w:t xml:space="preserve"> opportunità </w:t>
      </w:r>
      <w:r w:rsidRPr="00C9189B">
        <w:rPr>
          <w:rFonts w:ascii="DecimaWE Rg" w:hAnsi="DecimaWE Rg"/>
          <w:sz w:val="20"/>
          <w:szCs w:val="20"/>
        </w:rPr>
        <w:t>lavorative e formative</w:t>
      </w:r>
      <w:r w:rsidR="00A5186C" w:rsidRPr="00C9189B">
        <w:rPr>
          <w:rFonts w:ascii="DecimaWE Rg" w:hAnsi="DecimaWE Rg"/>
          <w:sz w:val="20"/>
          <w:szCs w:val="20"/>
        </w:rPr>
        <w:t xml:space="preserve"> sui diversi territori. </w:t>
      </w:r>
    </w:p>
    <w:p w:rsidR="00A93475" w:rsidRDefault="00A93475" w:rsidP="00A93475">
      <w:pPr>
        <w:jc w:val="both"/>
        <w:rPr>
          <w:rFonts w:ascii="DecimaWE Rg" w:hAnsi="DecimaWE Rg"/>
          <w:sz w:val="20"/>
          <w:szCs w:val="20"/>
        </w:rPr>
      </w:pPr>
      <w:r w:rsidRPr="00C9189B">
        <w:rPr>
          <w:rFonts w:ascii="DecimaWE Rg" w:hAnsi="DecimaWE Rg"/>
          <w:sz w:val="20"/>
          <w:szCs w:val="20"/>
        </w:rPr>
        <w:t xml:space="preserve">I primi esiti relativi alle </w:t>
      </w:r>
      <w:r w:rsidRPr="00C9189B">
        <w:rPr>
          <w:rFonts w:ascii="DecimaWE Rg" w:hAnsi="DecimaWE Rg"/>
          <w:b/>
          <w:sz w:val="20"/>
          <w:szCs w:val="20"/>
        </w:rPr>
        <w:t>verifiche dei progetti</w:t>
      </w:r>
      <w:r w:rsidRPr="00C9189B">
        <w:rPr>
          <w:rFonts w:ascii="DecimaWE Rg" w:hAnsi="DecimaWE Rg"/>
          <w:sz w:val="20"/>
          <w:szCs w:val="20"/>
        </w:rPr>
        <w:t xml:space="preserve"> di presa in carico sono disponibi</w:t>
      </w:r>
      <w:r w:rsidR="00656B1C" w:rsidRPr="00C9189B">
        <w:rPr>
          <w:rFonts w:ascii="DecimaWE Rg" w:hAnsi="DecimaWE Rg"/>
          <w:sz w:val="20"/>
          <w:szCs w:val="20"/>
        </w:rPr>
        <w:t xml:space="preserve">li in relazione a 4.583 nuclei che costituiscono il </w:t>
      </w:r>
      <w:r w:rsidRPr="00C9189B">
        <w:rPr>
          <w:rFonts w:ascii="DecimaWE Rg" w:hAnsi="DecimaWE Rg"/>
          <w:sz w:val="20"/>
          <w:szCs w:val="20"/>
        </w:rPr>
        <w:t>22% c</w:t>
      </w:r>
      <w:r w:rsidR="00656B1C" w:rsidRPr="00C9189B">
        <w:rPr>
          <w:rFonts w:ascii="DecimaWE Rg" w:hAnsi="DecimaWE Rg"/>
          <w:sz w:val="20"/>
          <w:szCs w:val="20"/>
        </w:rPr>
        <w:t>irca de</w:t>
      </w:r>
      <w:r w:rsidR="00FB01AE">
        <w:rPr>
          <w:rFonts w:ascii="DecimaWE Rg" w:hAnsi="DecimaWE Rg"/>
          <w:sz w:val="20"/>
          <w:szCs w:val="20"/>
        </w:rPr>
        <w:t>l</w:t>
      </w:r>
      <w:r w:rsidR="00656B1C" w:rsidRPr="00C9189B">
        <w:rPr>
          <w:rFonts w:ascii="DecimaWE Rg" w:hAnsi="DecimaWE Rg"/>
          <w:sz w:val="20"/>
          <w:szCs w:val="20"/>
        </w:rPr>
        <w:t xml:space="preserve"> totale dei beneficiari</w:t>
      </w:r>
      <w:r w:rsidR="006C6AE6" w:rsidRPr="00C9189B">
        <w:rPr>
          <w:rFonts w:ascii="DecimaWE Rg" w:hAnsi="DecimaWE Rg"/>
          <w:sz w:val="20"/>
          <w:szCs w:val="20"/>
        </w:rPr>
        <w:t xml:space="preserve"> della misura</w:t>
      </w:r>
      <w:r w:rsidR="00656B1C" w:rsidRPr="00C9189B">
        <w:rPr>
          <w:rFonts w:ascii="DecimaWE Rg" w:hAnsi="DecimaWE Rg"/>
          <w:sz w:val="20"/>
          <w:szCs w:val="20"/>
        </w:rPr>
        <w:t xml:space="preserve">. Facendo tuttavia </w:t>
      </w:r>
      <w:r w:rsidRPr="00C9189B">
        <w:rPr>
          <w:rFonts w:ascii="DecimaWE Rg" w:hAnsi="DecimaWE Rg"/>
          <w:sz w:val="20"/>
          <w:szCs w:val="20"/>
        </w:rPr>
        <w:t>riferimento s</w:t>
      </w:r>
      <w:r w:rsidR="00656B1C" w:rsidRPr="00C9189B">
        <w:rPr>
          <w:rFonts w:ascii="DecimaWE Rg" w:hAnsi="DecimaWE Rg"/>
          <w:sz w:val="20"/>
          <w:szCs w:val="20"/>
        </w:rPr>
        <w:t>pecifico ai nuclei che hanno</w:t>
      </w:r>
      <w:r w:rsidR="006C6AE6" w:rsidRPr="00C9189B">
        <w:rPr>
          <w:rFonts w:ascii="DecimaWE Rg" w:hAnsi="DecimaWE Rg"/>
          <w:sz w:val="20"/>
          <w:szCs w:val="20"/>
        </w:rPr>
        <w:t xml:space="preserve"> già</w:t>
      </w:r>
      <w:r w:rsidRPr="00C9189B">
        <w:rPr>
          <w:rFonts w:ascii="DecimaWE Rg" w:hAnsi="DecimaWE Rg"/>
          <w:sz w:val="20"/>
          <w:szCs w:val="20"/>
        </w:rPr>
        <w:t xml:space="preserve"> raggiunto i 30 mesi</w:t>
      </w:r>
      <w:r w:rsidR="00656B1C" w:rsidRPr="00C9189B">
        <w:rPr>
          <w:rFonts w:ascii="DecimaWE Rg" w:hAnsi="DecimaWE Rg"/>
          <w:sz w:val="20"/>
          <w:szCs w:val="20"/>
        </w:rPr>
        <w:t xml:space="preserve"> complessivi</w:t>
      </w:r>
      <w:r w:rsidRPr="00C9189B">
        <w:rPr>
          <w:rFonts w:ascii="DecimaWE Rg" w:hAnsi="DecimaWE Rg"/>
          <w:sz w:val="20"/>
          <w:szCs w:val="20"/>
        </w:rPr>
        <w:t xml:space="preserve"> di beneficio, risulta</w:t>
      </w:r>
      <w:r w:rsidR="00656B1C" w:rsidRPr="00C9189B">
        <w:rPr>
          <w:rFonts w:ascii="DecimaWE Rg" w:hAnsi="DecimaWE Rg"/>
          <w:sz w:val="20"/>
          <w:szCs w:val="20"/>
        </w:rPr>
        <w:t xml:space="preserve"> presente a sistema</w:t>
      </w:r>
      <w:r w:rsidRPr="00C9189B">
        <w:rPr>
          <w:rFonts w:ascii="DecimaWE Rg" w:hAnsi="DecimaWE Rg"/>
          <w:sz w:val="20"/>
          <w:szCs w:val="20"/>
        </w:rPr>
        <w:t xml:space="preserve"> una valutazione </w:t>
      </w:r>
      <w:r w:rsidR="00656B1C" w:rsidRPr="00C9189B">
        <w:rPr>
          <w:rFonts w:ascii="DecimaWE Rg" w:hAnsi="DecimaWE Rg"/>
          <w:sz w:val="20"/>
          <w:szCs w:val="20"/>
        </w:rPr>
        <w:t>per la metà di essi</w:t>
      </w:r>
      <w:r w:rsidRPr="00C9189B">
        <w:rPr>
          <w:rFonts w:ascii="DecimaWE Rg" w:hAnsi="DecimaWE Rg"/>
          <w:sz w:val="20"/>
          <w:szCs w:val="20"/>
        </w:rPr>
        <w:t>.</w:t>
      </w:r>
    </w:p>
    <w:p w:rsidR="00656B1C" w:rsidRDefault="00A93475" w:rsidP="00A93475">
      <w:pPr>
        <w:jc w:val="both"/>
        <w:rPr>
          <w:rFonts w:ascii="DecimaWE Rg" w:hAnsi="DecimaWE Rg"/>
          <w:sz w:val="20"/>
          <w:szCs w:val="20"/>
        </w:rPr>
      </w:pPr>
      <w:r w:rsidRPr="0077373B">
        <w:rPr>
          <w:rFonts w:ascii="DecimaWE Rg" w:hAnsi="DecimaWE Rg"/>
          <w:sz w:val="20"/>
          <w:szCs w:val="20"/>
        </w:rPr>
        <w:t xml:space="preserve">Dai risultati di tali verifiche emerge che il </w:t>
      </w:r>
      <w:r w:rsidRPr="0077373B">
        <w:rPr>
          <w:rFonts w:ascii="DecimaWE Rg" w:hAnsi="DecimaWE Rg"/>
          <w:b/>
          <w:sz w:val="20"/>
          <w:szCs w:val="20"/>
        </w:rPr>
        <w:t xml:space="preserve">71,2% dei nuclei monitorati raggiunge tutti gli obiettivi previsti </w:t>
      </w:r>
      <w:r w:rsidRPr="0077373B">
        <w:rPr>
          <w:rFonts w:ascii="DecimaWE Rg" w:hAnsi="DecimaWE Rg"/>
          <w:sz w:val="20"/>
          <w:szCs w:val="20"/>
        </w:rPr>
        <w:t xml:space="preserve">nei patti; solo il 3,8% non riesce a raggiungere nessuno degli obiettivi che erano stati individuati; i restanti nuclei (25%) raggiungono solo in parte gli obiettivi assegnati nelle diverse aree o ne raggiungono alcuni, ma non tutti quelli indicati. </w:t>
      </w:r>
      <w:r w:rsidR="00656B1C" w:rsidRPr="0077373B">
        <w:rPr>
          <w:rFonts w:ascii="DecimaWE Rg" w:hAnsi="DecimaWE Rg"/>
          <w:sz w:val="20"/>
          <w:szCs w:val="20"/>
        </w:rPr>
        <w:t>Le maggiori percentuali di successo sono ottenute nell’area delle cure genitoriali e parentali (con l’87% dei nuclei che raggiunge gli obiettivi previsti) in area socio relazionale e dell’autonomia personale (84% di successi) e in area abitativa (79% di successi). Per quanto riguarda i nuclei con obiettivi in area lavoro la percentuale di raggiungimento di tutti gli obiettivi p</w:t>
      </w:r>
      <w:r w:rsidR="00FE415D" w:rsidRPr="0077373B">
        <w:rPr>
          <w:rFonts w:ascii="DecimaWE Rg" w:hAnsi="DecimaWE Rg"/>
          <w:sz w:val="20"/>
          <w:szCs w:val="20"/>
        </w:rPr>
        <w:t xml:space="preserve">revisti si attesta intorno al 68%, un risultato importante </w:t>
      </w:r>
      <w:r w:rsidR="00A472BB" w:rsidRPr="0077373B">
        <w:rPr>
          <w:rFonts w:ascii="DecimaWE Rg" w:hAnsi="DecimaWE Rg"/>
          <w:sz w:val="20"/>
          <w:szCs w:val="20"/>
        </w:rPr>
        <w:t>che si riferisce prevalentemente alla realizzazione di</w:t>
      </w:r>
      <w:r w:rsidR="00FE415D" w:rsidRPr="0077373B">
        <w:rPr>
          <w:rFonts w:ascii="DecimaWE Rg" w:hAnsi="DecimaWE Rg"/>
          <w:sz w:val="20"/>
          <w:szCs w:val="20"/>
        </w:rPr>
        <w:t xml:space="preserve"> azioni propedeutiche alla ricerca di lavoro e di promozione dell’occupabilità, </w:t>
      </w:r>
      <w:r w:rsidR="0077373B" w:rsidRPr="0077373B">
        <w:rPr>
          <w:rFonts w:ascii="DecimaWE Rg" w:hAnsi="DecimaWE Rg"/>
          <w:sz w:val="20"/>
          <w:szCs w:val="20"/>
        </w:rPr>
        <w:t xml:space="preserve">prevalentemente </w:t>
      </w:r>
      <w:r w:rsidR="00FE415D" w:rsidRPr="0077373B">
        <w:rPr>
          <w:rFonts w:ascii="DecimaWE Rg" w:hAnsi="DecimaWE Rg"/>
          <w:sz w:val="20"/>
          <w:szCs w:val="20"/>
        </w:rPr>
        <w:t xml:space="preserve">attraverso azioni mirate da parte dei CPI, </w:t>
      </w:r>
      <w:r w:rsidR="0077373B" w:rsidRPr="0077373B">
        <w:rPr>
          <w:rFonts w:ascii="DecimaWE Rg" w:hAnsi="DecimaWE Rg"/>
          <w:sz w:val="20"/>
          <w:szCs w:val="20"/>
        </w:rPr>
        <w:t xml:space="preserve">e </w:t>
      </w:r>
      <w:r w:rsidR="00FE415D" w:rsidRPr="0077373B">
        <w:rPr>
          <w:rFonts w:ascii="DecimaWE Rg" w:hAnsi="DecimaWE Rg"/>
          <w:sz w:val="20"/>
          <w:szCs w:val="20"/>
        </w:rPr>
        <w:t xml:space="preserve">in alcuni casi, </w:t>
      </w:r>
      <w:r w:rsidR="0077373B" w:rsidRPr="0077373B">
        <w:rPr>
          <w:rFonts w:ascii="DecimaWE Rg" w:hAnsi="DecimaWE Rg"/>
          <w:sz w:val="20"/>
          <w:szCs w:val="20"/>
        </w:rPr>
        <w:t xml:space="preserve">anche </w:t>
      </w:r>
      <w:r w:rsidR="00FE415D" w:rsidRPr="0077373B">
        <w:rPr>
          <w:rFonts w:ascii="DecimaWE Rg" w:hAnsi="DecimaWE Rg"/>
          <w:sz w:val="20"/>
          <w:szCs w:val="20"/>
        </w:rPr>
        <w:t>attraverso strumenti direttamente gestiti in area sociale, quali tirocini e borse lavoro.</w:t>
      </w:r>
      <w:r w:rsidR="00FE415D">
        <w:rPr>
          <w:rFonts w:ascii="DecimaWE Rg" w:hAnsi="DecimaWE Rg"/>
          <w:sz w:val="20"/>
          <w:szCs w:val="20"/>
        </w:rPr>
        <w:t xml:space="preserve">  </w:t>
      </w:r>
    </w:p>
    <w:p w:rsidR="00A93475" w:rsidRPr="00A93475" w:rsidRDefault="00A93475" w:rsidP="00A93475">
      <w:pPr>
        <w:jc w:val="both"/>
        <w:rPr>
          <w:rFonts w:ascii="DecimaWE Rg" w:hAnsi="DecimaWE Rg"/>
          <w:b/>
          <w:sz w:val="20"/>
          <w:szCs w:val="20"/>
        </w:rPr>
      </w:pPr>
    </w:p>
    <w:p w:rsidR="00291810" w:rsidRDefault="00291810" w:rsidP="006435C8">
      <w:pPr>
        <w:spacing w:after="0"/>
        <w:jc w:val="center"/>
        <w:rPr>
          <w:rFonts w:ascii="DecimaWE Rg" w:hAnsi="DecimaWE Rg"/>
          <w:b/>
          <w:sz w:val="24"/>
        </w:rPr>
      </w:pPr>
    </w:p>
    <w:p w:rsidR="00291810" w:rsidRDefault="00291810" w:rsidP="006435C8">
      <w:pPr>
        <w:spacing w:after="0"/>
        <w:jc w:val="center"/>
        <w:rPr>
          <w:rFonts w:ascii="DecimaWE Rg" w:hAnsi="DecimaWE Rg"/>
          <w:b/>
          <w:sz w:val="24"/>
        </w:rPr>
      </w:pPr>
    </w:p>
    <w:p w:rsidR="00A93475" w:rsidRDefault="00A93475">
      <w:pPr>
        <w:rPr>
          <w:rFonts w:ascii="DecimaWE Rg" w:hAnsi="DecimaWE Rg"/>
          <w:b/>
          <w:sz w:val="24"/>
        </w:rPr>
      </w:pPr>
      <w:r>
        <w:rPr>
          <w:rFonts w:ascii="DecimaWE Rg" w:hAnsi="DecimaWE Rg"/>
          <w:b/>
          <w:sz w:val="24"/>
        </w:rPr>
        <w:br w:type="page"/>
      </w:r>
    </w:p>
    <w:p w:rsidR="006435C8" w:rsidRPr="002F79F2" w:rsidRDefault="006435C8" w:rsidP="006435C8">
      <w:pPr>
        <w:spacing w:after="0"/>
        <w:jc w:val="center"/>
        <w:rPr>
          <w:rFonts w:ascii="DecimaWE Rg" w:hAnsi="DecimaWE Rg"/>
          <w:b/>
          <w:sz w:val="24"/>
        </w:rPr>
      </w:pPr>
      <w:r w:rsidRPr="002F79F2">
        <w:rPr>
          <w:rFonts w:ascii="DecimaWE Rg" w:hAnsi="DecimaWE Rg"/>
          <w:b/>
          <w:sz w:val="24"/>
        </w:rPr>
        <w:lastRenderedPageBreak/>
        <w:t>APPENDICE STATISTICA</w:t>
      </w:r>
    </w:p>
    <w:p w:rsidR="005F7B31" w:rsidRDefault="005F7B31" w:rsidP="00C44B06">
      <w:pPr>
        <w:spacing w:line="240" w:lineRule="auto"/>
        <w:jc w:val="both"/>
        <w:rPr>
          <w:rFonts w:ascii="DecimaWE Rg" w:hAnsi="DecimaWE Rg"/>
          <w:i/>
          <w:sz w:val="20"/>
          <w:szCs w:val="20"/>
        </w:rPr>
      </w:pPr>
    </w:p>
    <w:p w:rsidR="00C44B06" w:rsidRDefault="005F7B31" w:rsidP="00C44B06">
      <w:pPr>
        <w:spacing w:line="240" w:lineRule="auto"/>
        <w:jc w:val="both"/>
        <w:rPr>
          <w:rFonts w:ascii="DecimaWE Rg" w:hAnsi="DecimaWE Rg"/>
          <w:i/>
          <w:sz w:val="20"/>
          <w:szCs w:val="20"/>
        </w:rPr>
      </w:pPr>
      <w:r>
        <w:rPr>
          <w:rFonts w:ascii="DecimaWE Rg" w:hAnsi="DecimaWE Rg"/>
          <w:i/>
          <w:sz w:val="20"/>
          <w:szCs w:val="20"/>
        </w:rPr>
        <w:t>Tab. 1</w:t>
      </w:r>
      <w:r w:rsidR="00C44B06">
        <w:rPr>
          <w:rFonts w:ascii="DecimaWE Rg" w:hAnsi="DecimaWE Rg"/>
          <w:i/>
          <w:sz w:val="20"/>
          <w:szCs w:val="20"/>
        </w:rPr>
        <w:t xml:space="preserve"> – Distribuzione </w:t>
      </w:r>
      <w:r w:rsidR="00B93D61">
        <w:rPr>
          <w:rFonts w:ascii="DecimaWE Rg" w:hAnsi="DecimaWE Rg"/>
          <w:i/>
          <w:sz w:val="20"/>
          <w:szCs w:val="20"/>
        </w:rPr>
        <w:t xml:space="preserve">(in valore assoluto e percentuale) </w:t>
      </w:r>
      <w:r w:rsidR="00C44B06">
        <w:rPr>
          <w:rFonts w:ascii="DecimaWE Rg" w:hAnsi="DecimaWE Rg"/>
          <w:i/>
          <w:sz w:val="20"/>
          <w:szCs w:val="20"/>
        </w:rPr>
        <w:t xml:space="preserve">per SSC dei nuclei </w:t>
      </w:r>
      <w:r>
        <w:rPr>
          <w:rFonts w:ascii="DecimaWE Rg" w:hAnsi="DecimaWE Rg"/>
          <w:i/>
          <w:sz w:val="20"/>
          <w:szCs w:val="20"/>
        </w:rPr>
        <w:t>familiari beneficiari di MIA e MIA+</w:t>
      </w:r>
      <w:r w:rsidR="00C44B06">
        <w:rPr>
          <w:rFonts w:ascii="DecimaWE Rg" w:hAnsi="DecimaWE Rg"/>
          <w:i/>
          <w:sz w:val="20"/>
          <w:szCs w:val="20"/>
        </w:rPr>
        <w:t>SIA (con almeno un’</w:t>
      </w:r>
      <w:r w:rsidR="00196284">
        <w:rPr>
          <w:rFonts w:ascii="DecimaWE Rg" w:hAnsi="DecimaWE Rg"/>
          <w:i/>
          <w:sz w:val="20"/>
          <w:szCs w:val="20"/>
        </w:rPr>
        <w:t>erogazione monetaria ricevuta</w:t>
      </w:r>
      <w:r w:rsidR="003611D3">
        <w:rPr>
          <w:rFonts w:ascii="DecimaWE Rg" w:hAnsi="DecimaWE Rg"/>
          <w:i/>
          <w:sz w:val="20"/>
          <w:szCs w:val="20"/>
        </w:rPr>
        <w:t xml:space="preserve"> per le domande </w:t>
      </w:r>
      <w:r w:rsidR="00D925A9" w:rsidRPr="00D925A9">
        <w:rPr>
          <w:rFonts w:ascii="DecimaWE Rg" w:hAnsi="DecimaWE Rg"/>
          <w:i/>
          <w:sz w:val="20"/>
          <w:szCs w:val="20"/>
        </w:rPr>
        <w:t>dal 22/10/2015 al 22/10/2018</w:t>
      </w:r>
      <w:r w:rsidR="00196284">
        <w:rPr>
          <w:rFonts w:ascii="DecimaWE Rg" w:hAnsi="DecimaWE Rg"/>
          <w:i/>
          <w:sz w:val="20"/>
          <w:szCs w:val="20"/>
        </w:rPr>
        <w:t xml:space="preserve">); </w:t>
      </w:r>
      <w:r w:rsidR="00C44B06">
        <w:rPr>
          <w:rFonts w:ascii="DecimaWE Rg" w:hAnsi="DecimaWE Rg"/>
          <w:i/>
          <w:sz w:val="20"/>
          <w:szCs w:val="20"/>
        </w:rPr>
        <w:t>incidenza nuclei beneficiari ogni 100 famiglie</w:t>
      </w:r>
      <w:r w:rsidR="00196284">
        <w:rPr>
          <w:rFonts w:ascii="DecimaWE Rg" w:hAnsi="DecimaWE Rg"/>
          <w:i/>
          <w:sz w:val="20"/>
          <w:szCs w:val="20"/>
        </w:rPr>
        <w:t xml:space="preserve"> residenti</w:t>
      </w:r>
      <w:r w:rsidR="00C44B06">
        <w:rPr>
          <w:rFonts w:ascii="DecimaWE Rg" w:hAnsi="DecimaWE Rg"/>
          <w:i/>
          <w:sz w:val="20"/>
          <w:szCs w:val="20"/>
        </w:rPr>
        <w:t xml:space="preserve">; numero totale dei componenti </w:t>
      </w:r>
      <w:r>
        <w:rPr>
          <w:rFonts w:ascii="DecimaWE Rg" w:hAnsi="DecimaWE Rg"/>
          <w:i/>
          <w:sz w:val="20"/>
          <w:szCs w:val="20"/>
        </w:rPr>
        <w:t xml:space="preserve">dei nuclei beneficiari </w:t>
      </w:r>
      <w:r w:rsidR="00C44B06">
        <w:rPr>
          <w:rFonts w:ascii="DecimaWE Rg" w:hAnsi="DecimaWE Rg"/>
          <w:i/>
          <w:sz w:val="20"/>
          <w:szCs w:val="20"/>
        </w:rPr>
        <w:t>e numero medio di com</w:t>
      </w:r>
      <w:r>
        <w:rPr>
          <w:rFonts w:ascii="DecimaWE Rg" w:hAnsi="DecimaWE Rg"/>
          <w:i/>
          <w:sz w:val="20"/>
          <w:szCs w:val="20"/>
        </w:rPr>
        <w:t>ponenti per nucleo</w:t>
      </w:r>
      <w:r w:rsidR="00196284">
        <w:rPr>
          <w:rFonts w:ascii="DecimaWE Rg" w:hAnsi="DecimaWE Rg"/>
          <w:i/>
          <w:sz w:val="20"/>
          <w:szCs w:val="20"/>
        </w:rPr>
        <w:t>;</w:t>
      </w:r>
      <w:r w:rsidR="00C44B06">
        <w:rPr>
          <w:rFonts w:ascii="DecimaWE Rg" w:hAnsi="DecimaWE Rg"/>
          <w:i/>
          <w:sz w:val="20"/>
          <w:szCs w:val="20"/>
        </w:rPr>
        <w:t xml:space="preserve"> incidenza dei componenti </w:t>
      </w:r>
      <w:r w:rsidR="007C5AEC">
        <w:rPr>
          <w:rFonts w:ascii="DecimaWE Rg" w:hAnsi="DecimaWE Rg"/>
          <w:i/>
          <w:sz w:val="20"/>
          <w:szCs w:val="20"/>
        </w:rPr>
        <w:t>de</w:t>
      </w:r>
      <w:r w:rsidR="00C44B06">
        <w:rPr>
          <w:rFonts w:ascii="DecimaWE Rg" w:hAnsi="DecimaWE Rg"/>
          <w:i/>
          <w:sz w:val="20"/>
          <w:szCs w:val="20"/>
        </w:rPr>
        <w:t>i nuclei benefic</w:t>
      </w:r>
      <w:r w:rsidR="003611D3">
        <w:rPr>
          <w:rFonts w:ascii="DecimaWE Rg" w:hAnsi="DecimaWE Rg"/>
          <w:i/>
          <w:sz w:val="20"/>
          <w:szCs w:val="20"/>
        </w:rPr>
        <w:t>iari ogni 100 residenti</w:t>
      </w:r>
      <w:r w:rsidR="00D925A9">
        <w:rPr>
          <w:rFonts w:ascii="DecimaWE Rg" w:hAnsi="DecimaWE Rg"/>
          <w:i/>
          <w:sz w:val="20"/>
          <w:szCs w:val="20"/>
        </w:rPr>
        <w:t>.</w:t>
      </w:r>
    </w:p>
    <w:p w:rsidR="00196284" w:rsidRDefault="00196284" w:rsidP="00C44B06">
      <w:pPr>
        <w:spacing w:line="240" w:lineRule="auto"/>
        <w:jc w:val="both"/>
        <w:rPr>
          <w:rFonts w:ascii="DecimaWE Rg" w:hAnsi="DecimaWE Rg"/>
          <w:i/>
          <w:sz w:val="20"/>
          <w:szCs w:val="20"/>
        </w:rPr>
      </w:pPr>
      <w:r w:rsidRPr="00196284">
        <w:rPr>
          <w:noProof/>
          <w:lang w:eastAsia="it-IT"/>
        </w:rPr>
        <w:drawing>
          <wp:inline distT="0" distB="0" distL="0" distR="0" wp14:anchorId="553574E4" wp14:editId="7ED22E82">
            <wp:extent cx="6120130" cy="3936378"/>
            <wp:effectExtent l="0" t="0" r="0" b="698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936378"/>
                    </a:xfrm>
                    <a:prstGeom prst="rect">
                      <a:avLst/>
                    </a:prstGeom>
                    <a:noFill/>
                    <a:ln>
                      <a:noFill/>
                    </a:ln>
                  </pic:spPr>
                </pic:pic>
              </a:graphicData>
            </a:graphic>
          </wp:inline>
        </w:drawing>
      </w:r>
    </w:p>
    <w:p w:rsidR="00B93D61" w:rsidRDefault="00B93D61" w:rsidP="00B93D61">
      <w:pPr>
        <w:spacing w:after="0"/>
        <w:jc w:val="both"/>
        <w:rPr>
          <w:rFonts w:ascii="DecimaWE Rg" w:hAnsi="DecimaWE Rg"/>
          <w:i/>
          <w:sz w:val="16"/>
          <w:szCs w:val="16"/>
        </w:rPr>
      </w:pPr>
      <w:r>
        <w:rPr>
          <w:rFonts w:ascii="DecimaWE Rg" w:hAnsi="DecimaWE Rg"/>
          <w:i/>
          <w:sz w:val="16"/>
          <w:szCs w:val="16"/>
        </w:rPr>
        <w:t>Fonte: SIMIA rif. domande dal 22/10/2015 al 22/10/2018 estrazione dati al 15/02/2019. Dati di flusso; ciascun nucleo beneficiario viene rilevato una sola volta con riferimento al territorio cui risultano associati alla data di presentazione della domanda e alle caratteristiche presenti al momento del primo accesso alla misura. Per le famiglie e la popolazione residente</w:t>
      </w:r>
      <w:r w:rsidR="00196284">
        <w:rPr>
          <w:rFonts w:ascii="DecimaWE Rg" w:hAnsi="DecimaWE Rg"/>
          <w:i/>
          <w:sz w:val="16"/>
          <w:szCs w:val="16"/>
        </w:rPr>
        <w:t>- comprensive del comune di Sappada</w:t>
      </w:r>
      <w:r>
        <w:rPr>
          <w:rFonts w:ascii="DecimaWE Rg" w:hAnsi="DecimaWE Rg"/>
          <w:i/>
          <w:sz w:val="16"/>
          <w:szCs w:val="16"/>
        </w:rPr>
        <w:t xml:space="preserve">: Demoistat, Bilancio demografico 2017 </w:t>
      </w:r>
      <w:r w:rsidR="00196284">
        <w:rPr>
          <w:rFonts w:ascii="DecimaWE Rg" w:hAnsi="DecimaWE Rg"/>
          <w:i/>
          <w:sz w:val="16"/>
          <w:szCs w:val="16"/>
        </w:rPr>
        <w:t xml:space="preserve">(tot Famiglie 562.566) </w:t>
      </w:r>
      <w:r>
        <w:rPr>
          <w:rFonts w:ascii="DecimaWE Rg" w:hAnsi="DecimaWE Rg"/>
          <w:i/>
          <w:sz w:val="16"/>
          <w:szCs w:val="16"/>
        </w:rPr>
        <w:t>e popolazione residente al 01.01.2018</w:t>
      </w:r>
      <w:r w:rsidR="00196284">
        <w:rPr>
          <w:rFonts w:ascii="DecimaWE Rg" w:hAnsi="DecimaWE Rg"/>
          <w:i/>
          <w:sz w:val="16"/>
          <w:szCs w:val="16"/>
        </w:rPr>
        <w:t xml:space="preserve"> (totale abitanti 1.216.853)</w:t>
      </w:r>
      <w:r>
        <w:rPr>
          <w:rFonts w:ascii="DecimaWE Rg" w:hAnsi="DecimaWE Rg"/>
          <w:i/>
          <w:sz w:val="16"/>
          <w:szCs w:val="16"/>
        </w:rPr>
        <w:t>.</w:t>
      </w:r>
    </w:p>
    <w:p w:rsidR="00B93D61" w:rsidRDefault="00B93D61" w:rsidP="00C44B06">
      <w:pPr>
        <w:spacing w:line="240" w:lineRule="auto"/>
        <w:jc w:val="both"/>
        <w:rPr>
          <w:rFonts w:ascii="DecimaWE Rg" w:hAnsi="DecimaWE Rg"/>
          <w:i/>
          <w:sz w:val="20"/>
          <w:szCs w:val="20"/>
        </w:rPr>
      </w:pPr>
    </w:p>
    <w:p w:rsidR="007225F1" w:rsidRDefault="00287A2C" w:rsidP="007225F1">
      <w:pPr>
        <w:jc w:val="both"/>
        <w:rPr>
          <w:rFonts w:ascii="DecimaWE Rg" w:hAnsi="DecimaWE Rg"/>
          <w:i/>
          <w:sz w:val="20"/>
          <w:szCs w:val="20"/>
        </w:rPr>
      </w:pPr>
      <w:r w:rsidRPr="007225F1">
        <w:rPr>
          <w:rFonts w:ascii="DecimaWE Rg" w:hAnsi="DecimaWE Rg"/>
          <w:i/>
          <w:sz w:val="20"/>
          <w:szCs w:val="20"/>
        </w:rPr>
        <w:t>Tab. 2 – Distribuzione dei n</w:t>
      </w:r>
      <w:r w:rsidR="008627C8" w:rsidRPr="007225F1">
        <w:rPr>
          <w:rFonts w:ascii="DecimaWE Rg" w:hAnsi="DecimaWE Rg"/>
          <w:i/>
          <w:sz w:val="20"/>
          <w:szCs w:val="20"/>
        </w:rPr>
        <w:t xml:space="preserve">uclei </w:t>
      </w:r>
      <w:r w:rsidRPr="007225F1">
        <w:rPr>
          <w:rFonts w:ascii="DecimaWE Rg" w:hAnsi="DecimaWE Rg"/>
          <w:i/>
          <w:sz w:val="20"/>
          <w:szCs w:val="20"/>
        </w:rPr>
        <w:t xml:space="preserve">beneficiari </w:t>
      </w:r>
      <w:r w:rsidR="008627C8" w:rsidRPr="007225F1">
        <w:rPr>
          <w:rFonts w:ascii="DecimaWE Rg" w:hAnsi="DecimaWE Rg"/>
          <w:i/>
          <w:sz w:val="20"/>
          <w:szCs w:val="20"/>
        </w:rPr>
        <w:t>per mesi complessi</w:t>
      </w:r>
      <w:r w:rsidR="008E1380">
        <w:rPr>
          <w:rFonts w:ascii="DecimaWE Rg" w:hAnsi="DecimaWE Rg"/>
          <w:i/>
          <w:sz w:val="20"/>
          <w:szCs w:val="20"/>
        </w:rPr>
        <w:t>vi di beneficio</w:t>
      </w:r>
      <w:r w:rsidR="00D4296D">
        <w:rPr>
          <w:rFonts w:ascii="DecimaWE Rg" w:hAnsi="DecimaWE Rg"/>
          <w:i/>
          <w:sz w:val="20"/>
          <w:szCs w:val="20"/>
        </w:rPr>
        <w:t xml:space="preserve"> percepiti </w:t>
      </w:r>
      <w:r w:rsidR="008E1380">
        <w:rPr>
          <w:rFonts w:ascii="DecimaWE Rg" w:hAnsi="DecimaWE Rg"/>
          <w:i/>
          <w:sz w:val="20"/>
          <w:szCs w:val="20"/>
        </w:rPr>
        <w:t>a febbraio 2019</w:t>
      </w:r>
      <w:r w:rsidR="008627C8" w:rsidRPr="007225F1">
        <w:rPr>
          <w:rFonts w:ascii="DecimaWE Rg" w:hAnsi="DecimaWE Rg"/>
          <w:i/>
          <w:sz w:val="20"/>
          <w:szCs w:val="20"/>
        </w:rPr>
        <w:t xml:space="preserve"> e per anno di accesso alla misura</w:t>
      </w:r>
      <w:r w:rsidR="007225F1" w:rsidRPr="007225F1">
        <w:rPr>
          <w:rFonts w:ascii="DecimaWE Rg" w:hAnsi="DecimaWE Rg"/>
          <w:i/>
          <w:sz w:val="20"/>
          <w:szCs w:val="20"/>
        </w:rPr>
        <w:t>,</w:t>
      </w:r>
      <w:r w:rsidR="007225F1">
        <w:rPr>
          <w:rFonts w:ascii="DecimaWE Rg" w:hAnsi="DecimaWE Rg"/>
          <w:i/>
          <w:sz w:val="20"/>
          <w:szCs w:val="20"/>
        </w:rPr>
        <w:t xml:space="preserve"> valori assoluti e percentuali.</w:t>
      </w:r>
    </w:p>
    <w:p w:rsidR="008627C8" w:rsidRDefault="008627C8" w:rsidP="00C44B06">
      <w:pPr>
        <w:spacing w:line="240" w:lineRule="auto"/>
        <w:jc w:val="both"/>
        <w:rPr>
          <w:rFonts w:ascii="DecimaWE Rg" w:hAnsi="DecimaWE Rg"/>
          <w:i/>
          <w:sz w:val="20"/>
          <w:szCs w:val="20"/>
        </w:rPr>
      </w:pPr>
      <w:r w:rsidRPr="008627C8">
        <w:rPr>
          <w:noProof/>
          <w:lang w:eastAsia="it-IT"/>
        </w:rPr>
        <w:drawing>
          <wp:inline distT="0" distB="0" distL="0" distR="0">
            <wp:extent cx="5287604" cy="1076325"/>
            <wp:effectExtent l="0" t="0" r="889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8891" cy="1076587"/>
                    </a:xfrm>
                    <a:prstGeom prst="rect">
                      <a:avLst/>
                    </a:prstGeom>
                    <a:noFill/>
                    <a:ln>
                      <a:noFill/>
                    </a:ln>
                  </pic:spPr>
                </pic:pic>
              </a:graphicData>
            </a:graphic>
          </wp:inline>
        </w:drawing>
      </w:r>
    </w:p>
    <w:p w:rsidR="008627C8" w:rsidRDefault="00287A2C" w:rsidP="00C44B06">
      <w:pPr>
        <w:spacing w:line="240" w:lineRule="auto"/>
        <w:jc w:val="both"/>
        <w:rPr>
          <w:rFonts w:ascii="DecimaWE Rg" w:hAnsi="DecimaWE Rg"/>
          <w:i/>
          <w:sz w:val="16"/>
          <w:szCs w:val="16"/>
        </w:rPr>
      </w:pPr>
      <w:r w:rsidRPr="007225F1">
        <w:rPr>
          <w:rFonts w:ascii="DecimaWE Rg" w:hAnsi="DecimaWE Rg"/>
          <w:i/>
          <w:sz w:val="16"/>
          <w:szCs w:val="16"/>
        </w:rPr>
        <w:t>Fonte: SIMIA</w:t>
      </w:r>
      <w:r w:rsidR="00177282" w:rsidRPr="007225F1">
        <w:t xml:space="preserve"> </w:t>
      </w:r>
      <w:r w:rsidR="00177282" w:rsidRPr="007225F1">
        <w:rPr>
          <w:rFonts w:ascii="DecimaWE Rg" w:hAnsi="DecimaWE Rg"/>
          <w:i/>
          <w:sz w:val="16"/>
          <w:szCs w:val="16"/>
        </w:rPr>
        <w:t>rif. domande dal 22/10/2015 al 22/10/2018 estrazione dati al 15/02/2019.</w:t>
      </w:r>
    </w:p>
    <w:p w:rsidR="00196284" w:rsidRDefault="00196284" w:rsidP="00C44B06">
      <w:pPr>
        <w:spacing w:line="240" w:lineRule="auto"/>
        <w:jc w:val="both"/>
        <w:rPr>
          <w:rFonts w:ascii="DecimaWE Rg" w:hAnsi="DecimaWE Rg"/>
          <w:i/>
          <w:sz w:val="16"/>
          <w:szCs w:val="16"/>
        </w:rPr>
      </w:pPr>
    </w:p>
    <w:p w:rsidR="00196284" w:rsidRDefault="00196284" w:rsidP="00C44B06">
      <w:pPr>
        <w:spacing w:line="240" w:lineRule="auto"/>
        <w:jc w:val="both"/>
        <w:rPr>
          <w:rFonts w:ascii="DecimaWE Rg" w:hAnsi="DecimaWE Rg"/>
          <w:i/>
          <w:sz w:val="16"/>
          <w:szCs w:val="16"/>
        </w:rPr>
      </w:pPr>
    </w:p>
    <w:p w:rsidR="00DA1B9E" w:rsidRDefault="00DA1B9E" w:rsidP="00C44B06">
      <w:pPr>
        <w:spacing w:line="240" w:lineRule="auto"/>
        <w:jc w:val="both"/>
        <w:rPr>
          <w:rFonts w:ascii="DecimaWE Rg" w:hAnsi="DecimaWE Rg"/>
          <w:i/>
          <w:sz w:val="16"/>
          <w:szCs w:val="16"/>
        </w:rPr>
      </w:pPr>
    </w:p>
    <w:p w:rsidR="00196284" w:rsidRPr="00287A2C" w:rsidRDefault="00196284" w:rsidP="00C44B06">
      <w:pPr>
        <w:spacing w:line="240" w:lineRule="auto"/>
        <w:jc w:val="both"/>
        <w:rPr>
          <w:rFonts w:ascii="DecimaWE Rg" w:hAnsi="DecimaWE Rg"/>
          <w:i/>
          <w:sz w:val="16"/>
          <w:szCs w:val="16"/>
        </w:rPr>
      </w:pPr>
    </w:p>
    <w:p w:rsidR="00196284" w:rsidRDefault="00196284" w:rsidP="00196284">
      <w:pPr>
        <w:jc w:val="both"/>
        <w:rPr>
          <w:rFonts w:ascii="DecimaWE Rg" w:hAnsi="DecimaWE Rg"/>
          <w:i/>
          <w:sz w:val="20"/>
          <w:szCs w:val="20"/>
        </w:rPr>
      </w:pPr>
      <w:r>
        <w:rPr>
          <w:rFonts w:ascii="DecimaWE Rg" w:hAnsi="DecimaWE Rg"/>
          <w:i/>
          <w:sz w:val="20"/>
          <w:szCs w:val="20"/>
        </w:rPr>
        <w:lastRenderedPageBreak/>
        <w:t>Graf</w:t>
      </w:r>
      <w:r w:rsidRPr="007225F1">
        <w:rPr>
          <w:rFonts w:ascii="DecimaWE Rg" w:hAnsi="DecimaWE Rg"/>
          <w:i/>
          <w:sz w:val="20"/>
          <w:szCs w:val="20"/>
        </w:rPr>
        <w:t xml:space="preserve"> </w:t>
      </w:r>
      <w:r w:rsidR="00DA1B9E">
        <w:rPr>
          <w:rFonts w:ascii="DecimaWE Rg" w:hAnsi="DecimaWE Rg"/>
          <w:i/>
          <w:sz w:val="20"/>
          <w:szCs w:val="20"/>
        </w:rPr>
        <w:t xml:space="preserve">1 </w:t>
      </w:r>
      <w:r w:rsidRPr="007225F1">
        <w:rPr>
          <w:rFonts w:ascii="DecimaWE Rg" w:hAnsi="DecimaWE Rg"/>
          <w:i/>
          <w:sz w:val="20"/>
          <w:szCs w:val="20"/>
        </w:rPr>
        <w:t>– Distribuzione dei nuclei beneficiari</w:t>
      </w:r>
      <w:r>
        <w:rPr>
          <w:rFonts w:ascii="DecimaWE Rg" w:hAnsi="DecimaWE Rg"/>
          <w:i/>
          <w:sz w:val="20"/>
          <w:szCs w:val="20"/>
        </w:rPr>
        <w:t xml:space="preserve"> per </w:t>
      </w:r>
      <w:r w:rsidR="00DA1B9E">
        <w:rPr>
          <w:rFonts w:ascii="DecimaWE Rg" w:hAnsi="DecimaWE Rg"/>
          <w:i/>
          <w:sz w:val="20"/>
          <w:szCs w:val="20"/>
        </w:rPr>
        <w:t xml:space="preserve">bimestre di </w:t>
      </w:r>
      <w:r>
        <w:rPr>
          <w:rFonts w:ascii="DecimaWE Rg" w:hAnsi="DecimaWE Rg"/>
          <w:i/>
          <w:sz w:val="20"/>
          <w:szCs w:val="20"/>
        </w:rPr>
        <w:t xml:space="preserve">accesso alla misura. </w:t>
      </w:r>
    </w:p>
    <w:p w:rsidR="00DA1B9E" w:rsidRDefault="00DA1B9E" w:rsidP="00196284">
      <w:pPr>
        <w:jc w:val="both"/>
        <w:rPr>
          <w:rFonts w:ascii="DecimaWE Rg" w:hAnsi="DecimaWE Rg"/>
          <w:i/>
          <w:sz w:val="20"/>
          <w:szCs w:val="20"/>
        </w:rPr>
      </w:pPr>
      <w:r>
        <w:rPr>
          <w:rFonts w:ascii="DecimaWE Rg" w:hAnsi="DecimaWE Rg"/>
          <w:i/>
          <w:noProof/>
          <w:sz w:val="20"/>
          <w:szCs w:val="20"/>
          <w:lang w:eastAsia="it-IT"/>
        </w:rPr>
        <w:drawing>
          <wp:inline distT="0" distB="0" distL="0" distR="0" wp14:anchorId="5A35CC10">
            <wp:extent cx="5867400" cy="261981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0029" cy="2625454"/>
                    </a:xfrm>
                    <a:prstGeom prst="rect">
                      <a:avLst/>
                    </a:prstGeom>
                    <a:noFill/>
                  </pic:spPr>
                </pic:pic>
              </a:graphicData>
            </a:graphic>
          </wp:inline>
        </w:drawing>
      </w:r>
    </w:p>
    <w:p w:rsidR="00291810" w:rsidRDefault="00291810" w:rsidP="00C44B06">
      <w:pPr>
        <w:jc w:val="both"/>
        <w:rPr>
          <w:rFonts w:ascii="DecimaWE Rg" w:hAnsi="DecimaWE Rg"/>
          <w:i/>
          <w:sz w:val="20"/>
          <w:szCs w:val="20"/>
        </w:rPr>
      </w:pPr>
    </w:p>
    <w:p w:rsidR="00C44B06" w:rsidRDefault="00287A2C" w:rsidP="00C44B06">
      <w:pPr>
        <w:jc w:val="both"/>
        <w:rPr>
          <w:rFonts w:ascii="DecimaWE Rg" w:hAnsi="DecimaWE Rg"/>
          <w:i/>
          <w:sz w:val="20"/>
          <w:szCs w:val="20"/>
        </w:rPr>
      </w:pPr>
      <w:r>
        <w:rPr>
          <w:rFonts w:ascii="DecimaWE Rg" w:hAnsi="DecimaWE Rg"/>
          <w:i/>
          <w:sz w:val="20"/>
          <w:szCs w:val="20"/>
        </w:rPr>
        <w:t>Tab. 3</w:t>
      </w:r>
      <w:r w:rsidR="00C44B06">
        <w:rPr>
          <w:rFonts w:ascii="DecimaWE Rg" w:hAnsi="DecimaWE Rg"/>
          <w:i/>
          <w:sz w:val="20"/>
          <w:szCs w:val="20"/>
        </w:rPr>
        <w:t xml:space="preserve"> - Distribuzione dei beneficiari per composizione del nucleo familiare, valori assoluti e percentuali.</w:t>
      </w:r>
    </w:p>
    <w:p w:rsidR="00B07E25" w:rsidRDefault="00B07E25" w:rsidP="00C44B06">
      <w:pPr>
        <w:jc w:val="both"/>
        <w:rPr>
          <w:rFonts w:ascii="DecimaWE Rg" w:hAnsi="DecimaWE Rg"/>
          <w:i/>
          <w:sz w:val="20"/>
          <w:szCs w:val="20"/>
        </w:rPr>
      </w:pPr>
      <w:r w:rsidRPr="00B07E25">
        <w:rPr>
          <w:noProof/>
          <w:lang w:eastAsia="it-IT"/>
        </w:rPr>
        <w:drawing>
          <wp:inline distT="0" distB="0" distL="0" distR="0">
            <wp:extent cx="3933825" cy="1074534"/>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9126" cy="1081445"/>
                    </a:xfrm>
                    <a:prstGeom prst="rect">
                      <a:avLst/>
                    </a:prstGeom>
                    <a:noFill/>
                    <a:ln>
                      <a:noFill/>
                    </a:ln>
                  </pic:spPr>
                </pic:pic>
              </a:graphicData>
            </a:graphic>
          </wp:inline>
        </w:drawing>
      </w:r>
    </w:p>
    <w:p w:rsidR="005625D7" w:rsidRDefault="005625D7" w:rsidP="00C44B06">
      <w:pPr>
        <w:spacing w:line="240" w:lineRule="auto"/>
        <w:jc w:val="both"/>
        <w:rPr>
          <w:rFonts w:ascii="DecimaWE Rg" w:hAnsi="DecimaWE Rg"/>
          <w:i/>
          <w:sz w:val="16"/>
          <w:szCs w:val="16"/>
        </w:rPr>
      </w:pPr>
      <w:r>
        <w:rPr>
          <w:rFonts w:ascii="DecimaWE Rg" w:hAnsi="DecimaWE Rg"/>
          <w:i/>
          <w:sz w:val="16"/>
          <w:szCs w:val="16"/>
        </w:rPr>
        <w:t xml:space="preserve">Fonte: SIMIA rif. domande dal 22/10/2015 al 22/10/2018 estrazione dati al 15/02/2019. </w:t>
      </w:r>
    </w:p>
    <w:p w:rsidR="008627C8" w:rsidRDefault="008627C8" w:rsidP="00C44B06">
      <w:pPr>
        <w:spacing w:line="240" w:lineRule="auto"/>
        <w:jc w:val="both"/>
        <w:rPr>
          <w:rFonts w:ascii="DecimaWE Rg" w:hAnsi="DecimaWE Rg"/>
          <w:i/>
          <w:sz w:val="16"/>
          <w:szCs w:val="16"/>
        </w:rPr>
      </w:pPr>
    </w:p>
    <w:p w:rsidR="00C44B06" w:rsidRDefault="00287A2C" w:rsidP="00C44B06">
      <w:pPr>
        <w:spacing w:line="240" w:lineRule="auto"/>
        <w:jc w:val="both"/>
        <w:rPr>
          <w:rFonts w:ascii="DecimaWE Rg" w:hAnsi="DecimaWE Rg"/>
          <w:i/>
          <w:sz w:val="20"/>
          <w:szCs w:val="20"/>
        </w:rPr>
      </w:pPr>
      <w:r>
        <w:rPr>
          <w:rFonts w:ascii="DecimaWE Rg" w:hAnsi="DecimaWE Rg"/>
          <w:i/>
          <w:sz w:val="20"/>
          <w:szCs w:val="20"/>
        </w:rPr>
        <w:t>Tab. 4</w:t>
      </w:r>
      <w:r w:rsidR="00C44B06">
        <w:rPr>
          <w:rFonts w:ascii="DecimaWE Rg" w:hAnsi="DecimaWE Rg"/>
          <w:i/>
          <w:sz w:val="20"/>
          <w:szCs w:val="20"/>
        </w:rPr>
        <w:t xml:space="preserve"> – Distribuzione dei beneficiari per numero di figli presenti all’interno del nucleo familiare, valori assoluti e percentuali.</w:t>
      </w:r>
    </w:p>
    <w:p w:rsidR="00777B17" w:rsidRDefault="00B07E25" w:rsidP="00C44B06">
      <w:pPr>
        <w:spacing w:after="120"/>
        <w:jc w:val="both"/>
        <w:rPr>
          <w:rFonts w:ascii="DecimaWE Rg" w:hAnsi="DecimaWE Rg"/>
          <w:sz w:val="20"/>
          <w:szCs w:val="20"/>
        </w:rPr>
      </w:pPr>
      <w:r w:rsidRPr="00B07E25">
        <w:rPr>
          <w:noProof/>
          <w:lang w:eastAsia="it-IT"/>
        </w:rPr>
        <w:drawing>
          <wp:inline distT="0" distB="0" distL="0" distR="0">
            <wp:extent cx="3933825" cy="1535318"/>
            <wp:effectExtent l="0" t="0" r="0" b="825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4354" cy="1551136"/>
                    </a:xfrm>
                    <a:prstGeom prst="rect">
                      <a:avLst/>
                    </a:prstGeom>
                    <a:noFill/>
                    <a:ln>
                      <a:noFill/>
                    </a:ln>
                  </pic:spPr>
                </pic:pic>
              </a:graphicData>
            </a:graphic>
          </wp:inline>
        </w:drawing>
      </w:r>
    </w:p>
    <w:p w:rsidR="00C44B06" w:rsidRDefault="005625D7" w:rsidP="00C44B06">
      <w:pPr>
        <w:spacing w:line="240" w:lineRule="auto"/>
        <w:jc w:val="both"/>
        <w:rPr>
          <w:rFonts w:ascii="DecimaWE Rg" w:hAnsi="DecimaWE Rg"/>
          <w:i/>
          <w:sz w:val="16"/>
          <w:szCs w:val="16"/>
        </w:rPr>
      </w:pPr>
      <w:r>
        <w:rPr>
          <w:rFonts w:ascii="DecimaWE Rg" w:hAnsi="DecimaWE Rg"/>
          <w:i/>
          <w:sz w:val="16"/>
          <w:szCs w:val="16"/>
        </w:rPr>
        <w:t>Fonte: SIMIA rif. domande dal 22/10/2015 al 22/10/2018 estrazione dati al 15/02/2019</w:t>
      </w:r>
    </w:p>
    <w:p w:rsidR="00287A2C" w:rsidRDefault="00287A2C" w:rsidP="00C44B06">
      <w:pPr>
        <w:spacing w:line="240" w:lineRule="auto"/>
        <w:jc w:val="both"/>
        <w:rPr>
          <w:rFonts w:ascii="DecimaWE Rg" w:hAnsi="DecimaWE Rg"/>
          <w:i/>
          <w:sz w:val="16"/>
          <w:szCs w:val="16"/>
        </w:rPr>
      </w:pPr>
    </w:p>
    <w:p w:rsidR="00196284" w:rsidRDefault="00196284" w:rsidP="00C44B06">
      <w:pPr>
        <w:spacing w:line="240" w:lineRule="auto"/>
        <w:jc w:val="both"/>
        <w:rPr>
          <w:rFonts w:ascii="DecimaWE Rg" w:hAnsi="DecimaWE Rg"/>
          <w:i/>
          <w:sz w:val="16"/>
          <w:szCs w:val="16"/>
        </w:rPr>
      </w:pPr>
    </w:p>
    <w:p w:rsidR="00196284" w:rsidRDefault="00196284" w:rsidP="00C44B06">
      <w:pPr>
        <w:spacing w:line="240" w:lineRule="auto"/>
        <w:jc w:val="both"/>
        <w:rPr>
          <w:rFonts w:ascii="DecimaWE Rg" w:hAnsi="DecimaWE Rg"/>
          <w:i/>
          <w:sz w:val="16"/>
          <w:szCs w:val="16"/>
        </w:rPr>
      </w:pPr>
    </w:p>
    <w:p w:rsidR="00196284" w:rsidRDefault="00196284" w:rsidP="00C44B06">
      <w:pPr>
        <w:spacing w:line="240" w:lineRule="auto"/>
        <w:jc w:val="both"/>
        <w:rPr>
          <w:rFonts w:ascii="DecimaWE Rg" w:hAnsi="DecimaWE Rg"/>
          <w:i/>
          <w:sz w:val="16"/>
          <w:szCs w:val="16"/>
        </w:rPr>
      </w:pPr>
    </w:p>
    <w:p w:rsidR="00196284" w:rsidRDefault="00196284" w:rsidP="00C44B06">
      <w:pPr>
        <w:spacing w:line="240" w:lineRule="auto"/>
        <w:jc w:val="both"/>
        <w:rPr>
          <w:rFonts w:ascii="DecimaWE Rg" w:hAnsi="DecimaWE Rg"/>
          <w:i/>
          <w:sz w:val="16"/>
          <w:szCs w:val="16"/>
        </w:rPr>
      </w:pPr>
    </w:p>
    <w:p w:rsidR="00196284" w:rsidRDefault="00196284" w:rsidP="00C44B06">
      <w:pPr>
        <w:spacing w:line="240" w:lineRule="auto"/>
        <w:jc w:val="both"/>
        <w:rPr>
          <w:rFonts w:ascii="DecimaWE Rg" w:hAnsi="DecimaWE Rg"/>
          <w:i/>
          <w:sz w:val="16"/>
          <w:szCs w:val="16"/>
        </w:rPr>
      </w:pPr>
    </w:p>
    <w:p w:rsidR="00C44B06" w:rsidRDefault="00287A2C" w:rsidP="00C44B06">
      <w:pPr>
        <w:spacing w:line="240" w:lineRule="auto"/>
        <w:jc w:val="both"/>
        <w:rPr>
          <w:rFonts w:ascii="DecimaWE Rg" w:hAnsi="DecimaWE Rg"/>
          <w:i/>
          <w:sz w:val="20"/>
          <w:szCs w:val="20"/>
        </w:rPr>
      </w:pPr>
      <w:r>
        <w:rPr>
          <w:rFonts w:ascii="DecimaWE Rg" w:hAnsi="DecimaWE Rg"/>
          <w:i/>
          <w:sz w:val="20"/>
          <w:szCs w:val="20"/>
        </w:rPr>
        <w:lastRenderedPageBreak/>
        <w:t>Tab. 5</w:t>
      </w:r>
      <w:r w:rsidR="00C44B06">
        <w:rPr>
          <w:rFonts w:ascii="DecimaWE Rg" w:hAnsi="DecimaWE Rg"/>
          <w:i/>
          <w:sz w:val="20"/>
          <w:szCs w:val="20"/>
        </w:rPr>
        <w:t xml:space="preserve"> – Distribuzione dei beneficiari per fasce ISEE di accesso alla misura, valori assoluti e percentuali.</w:t>
      </w:r>
    </w:p>
    <w:p w:rsidR="00777B17" w:rsidRDefault="00B07E25" w:rsidP="00C44B06">
      <w:pPr>
        <w:spacing w:line="240" w:lineRule="auto"/>
        <w:jc w:val="both"/>
        <w:rPr>
          <w:rFonts w:ascii="DecimaWE Rg" w:hAnsi="DecimaWE Rg"/>
          <w:i/>
          <w:sz w:val="20"/>
          <w:szCs w:val="20"/>
        </w:rPr>
      </w:pPr>
      <w:r w:rsidRPr="00B07E25">
        <w:rPr>
          <w:noProof/>
          <w:lang w:eastAsia="it-IT"/>
        </w:rPr>
        <w:drawing>
          <wp:inline distT="0" distB="0" distL="0" distR="0">
            <wp:extent cx="3819525" cy="1192445"/>
            <wp:effectExtent l="0" t="0" r="0" b="825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1958" cy="1205692"/>
                    </a:xfrm>
                    <a:prstGeom prst="rect">
                      <a:avLst/>
                    </a:prstGeom>
                    <a:noFill/>
                    <a:ln>
                      <a:noFill/>
                    </a:ln>
                  </pic:spPr>
                </pic:pic>
              </a:graphicData>
            </a:graphic>
          </wp:inline>
        </w:drawing>
      </w:r>
    </w:p>
    <w:p w:rsidR="00C44B06" w:rsidRDefault="005625D7" w:rsidP="00C44B06">
      <w:pPr>
        <w:spacing w:line="240" w:lineRule="auto"/>
        <w:jc w:val="both"/>
        <w:rPr>
          <w:rFonts w:ascii="DecimaWE Rg" w:hAnsi="DecimaWE Rg"/>
          <w:i/>
          <w:sz w:val="16"/>
          <w:szCs w:val="16"/>
        </w:rPr>
      </w:pPr>
      <w:r>
        <w:rPr>
          <w:rFonts w:ascii="DecimaWE Rg" w:hAnsi="DecimaWE Rg"/>
          <w:i/>
          <w:sz w:val="16"/>
          <w:szCs w:val="16"/>
        </w:rPr>
        <w:t>Fonte: SIMIA rif. domande dal 22/10/2015 al 22/10/2018 estrazione dati al 15/02/2019</w:t>
      </w:r>
    </w:p>
    <w:p w:rsidR="00287A2C" w:rsidRDefault="00287A2C" w:rsidP="00C44B06">
      <w:pPr>
        <w:spacing w:line="240" w:lineRule="auto"/>
        <w:jc w:val="both"/>
        <w:rPr>
          <w:rFonts w:ascii="DecimaWE Rg" w:hAnsi="DecimaWE Rg"/>
          <w:i/>
          <w:sz w:val="16"/>
          <w:szCs w:val="16"/>
        </w:rPr>
      </w:pPr>
    </w:p>
    <w:p w:rsidR="00C44B06" w:rsidRDefault="00287A2C" w:rsidP="00C44B06">
      <w:pPr>
        <w:spacing w:line="240" w:lineRule="auto"/>
        <w:jc w:val="both"/>
        <w:rPr>
          <w:rFonts w:ascii="DecimaWE Rg" w:hAnsi="DecimaWE Rg"/>
          <w:i/>
          <w:sz w:val="20"/>
          <w:szCs w:val="20"/>
        </w:rPr>
      </w:pPr>
      <w:r>
        <w:rPr>
          <w:rFonts w:ascii="DecimaWE Rg" w:hAnsi="DecimaWE Rg"/>
          <w:i/>
          <w:sz w:val="20"/>
          <w:szCs w:val="20"/>
        </w:rPr>
        <w:t>Tab. 6</w:t>
      </w:r>
      <w:r w:rsidR="00C44B06">
        <w:rPr>
          <w:rFonts w:ascii="DecimaWE Rg" w:hAnsi="DecimaWE Rg"/>
          <w:i/>
          <w:sz w:val="20"/>
          <w:szCs w:val="20"/>
        </w:rPr>
        <w:t xml:space="preserve"> Distribuzione dei nuclei beneficiari per cittadinanza dei componenti, valori assoluti e percentuali.</w:t>
      </w:r>
    </w:p>
    <w:p w:rsidR="00777B17" w:rsidRDefault="00B07E25" w:rsidP="00C44B06">
      <w:pPr>
        <w:spacing w:line="240" w:lineRule="auto"/>
        <w:jc w:val="both"/>
        <w:rPr>
          <w:rFonts w:ascii="DecimaWE Rg" w:hAnsi="DecimaWE Rg"/>
          <w:i/>
          <w:sz w:val="20"/>
          <w:szCs w:val="20"/>
        </w:rPr>
      </w:pPr>
      <w:r w:rsidRPr="00B07E25">
        <w:rPr>
          <w:noProof/>
          <w:lang w:eastAsia="it-IT"/>
        </w:rPr>
        <w:drawing>
          <wp:inline distT="0" distB="0" distL="0" distR="0">
            <wp:extent cx="4000780" cy="78105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8201" cy="784451"/>
                    </a:xfrm>
                    <a:prstGeom prst="rect">
                      <a:avLst/>
                    </a:prstGeom>
                    <a:noFill/>
                    <a:ln>
                      <a:noFill/>
                    </a:ln>
                  </pic:spPr>
                </pic:pic>
              </a:graphicData>
            </a:graphic>
          </wp:inline>
        </w:drawing>
      </w:r>
    </w:p>
    <w:p w:rsidR="00C44B06" w:rsidRDefault="005625D7" w:rsidP="00C44B06">
      <w:pPr>
        <w:spacing w:after="120" w:line="240" w:lineRule="auto"/>
        <w:jc w:val="both"/>
        <w:rPr>
          <w:rFonts w:ascii="DecimaWE Rg" w:hAnsi="DecimaWE Rg"/>
          <w:i/>
          <w:sz w:val="20"/>
          <w:szCs w:val="20"/>
        </w:rPr>
      </w:pPr>
      <w:r>
        <w:rPr>
          <w:rFonts w:ascii="DecimaWE Rg" w:hAnsi="DecimaWE Rg"/>
          <w:i/>
          <w:sz w:val="16"/>
          <w:szCs w:val="16"/>
        </w:rPr>
        <w:t>Fonte: SIMIA rif. domande dal 22/10/2015 al 22/10/2018 estrazione dati al 15/02/2019</w:t>
      </w:r>
    </w:p>
    <w:p w:rsidR="005625D7" w:rsidRDefault="005625D7" w:rsidP="00C44B06">
      <w:pPr>
        <w:spacing w:after="120" w:line="240" w:lineRule="auto"/>
        <w:jc w:val="both"/>
        <w:rPr>
          <w:rFonts w:ascii="DecimaWE Rg" w:hAnsi="DecimaWE Rg"/>
          <w:i/>
          <w:sz w:val="20"/>
          <w:szCs w:val="20"/>
        </w:rPr>
      </w:pPr>
    </w:p>
    <w:p w:rsidR="00C44B06" w:rsidRDefault="00287A2C" w:rsidP="00C44B06">
      <w:pPr>
        <w:spacing w:after="120" w:line="240" w:lineRule="auto"/>
        <w:jc w:val="both"/>
        <w:rPr>
          <w:rFonts w:ascii="DecimaWE Rg" w:hAnsi="DecimaWE Rg"/>
          <w:i/>
          <w:sz w:val="20"/>
          <w:szCs w:val="20"/>
        </w:rPr>
      </w:pPr>
      <w:r>
        <w:rPr>
          <w:rFonts w:ascii="DecimaWE Rg" w:hAnsi="DecimaWE Rg"/>
          <w:i/>
          <w:sz w:val="20"/>
          <w:szCs w:val="20"/>
        </w:rPr>
        <w:t>Tab. 7</w:t>
      </w:r>
      <w:r w:rsidR="00C44B06">
        <w:rPr>
          <w:rFonts w:ascii="DecimaWE Rg" w:hAnsi="DecimaWE Rg"/>
          <w:i/>
          <w:sz w:val="20"/>
          <w:szCs w:val="20"/>
        </w:rPr>
        <w:t xml:space="preserve"> – Distribuzione di tutti i componenti </w:t>
      </w:r>
      <w:r w:rsidR="00225FB7">
        <w:rPr>
          <w:rFonts w:ascii="DecimaWE Rg" w:hAnsi="DecimaWE Rg"/>
          <w:i/>
          <w:sz w:val="20"/>
          <w:szCs w:val="20"/>
        </w:rPr>
        <w:t>de</w:t>
      </w:r>
      <w:r w:rsidR="00C44B06">
        <w:rPr>
          <w:rFonts w:ascii="DecimaWE Rg" w:hAnsi="DecimaWE Rg"/>
          <w:i/>
          <w:sz w:val="20"/>
          <w:szCs w:val="20"/>
        </w:rPr>
        <w:t>i nuclei beneficiari per cittadinanza, valori assoluti e percentuali.</w:t>
      </w:r>
    </w:p>
    <w:p w:rsidR="00777B17" w:rsidRDefault="00BF235B" w:rsidP="00C44B06">
      <w:pPr>
        <w:spacing w:after="120" w:line="240" w:lineRule="auto"/>
        <w:jc w:val="both"/>
        <w:rPr>
          <w:rFonts w:ascii="DecimaWE Rg" w:hAnsi="DecimaWE Rg"/>
          <w:i/>
          <w:sz w:val="20"/>
          <w:szCs w:val="20"/>
        </w:rPr>
      </w:pPr>
      <w:r w:rsidRPr="00BF235B">
        <w:rPr>
          <w:noProof/>
          <w:lang w:eastAsia="it-IT"/>
        </w:rPr>
        <w:drawing>
          <wp:inline distT="0" distB="0" distL="0" distR="0">
            <wp:extent cx="4000500" cy="63060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2508" cy="643532"/>
                    </a:xfrm>
                    <a:prstGeom prst="rect">
                      <a:avLst/>
                    </a:prstGeom>
                    <a:noFill/>
                    <a:ln>
                      <a:noFill/>
                    </a:ln>
                  </pic:spPr>
                </pic:pic>
              </a:graphicData>
            </a:graphic>
          </wp:inline>
        </w:drawing>
      </w:r>
    </w:p>
    <w:p w:rsidR="00C44B06" w:rsidRDefault="005625D7" w:rsidP="00C44B06">
      <w:pPr>
        <w:spacing w:after="120" w:line="240" w:lineRule="auto"/>
        <w:jc w:val="both"/>
        <w:rPr>
          <w:rFonts w:ascii="DecimaWE Rg" w:hAnsi="DecimaWE Rg"/>
          <w:i/>
          <w:sz w:val="16"/>
          <w:szCs w:val="16"/>
        </w:rPr>
      </w:pPr>
      <w:r>
        <w:rPr>
          <w:rFonts w:ascii="DecimaWE Rg" w:hAnsi="DecimaWE Rg"/>
          <w:i/>
          <w:sz w:val="16"/>
          <w:szCs w:val="16"/>
        </w:rPr>
        <w:t>Fonte: SIMIA rif. domande dal 22/10/2015 al 22/10/2018 estrazione dati al 15/02/2019</w:t>
      </w:r>
    </w:p>
    <w:p w:rsidR="00287A2C" w:rsidRDefault="00287A2C" w:rsidP="00C44B06">
      <w:pPr>
        <w:spacing w:after="120" w:line="240" w:lineRule="auto"/>
        <w:jc w:val="both"/>
        <w:rPr>
          <w:rFonts w:ascii="DecimaWE Rg" w:hAnsi="DecimaWE Rg"/>
          <w:i/>
          <w:sz w:val="16"/>
          <w:szCs w:val="16"/>
        </w:rPr>
      </w:pPr>
    </w:p>
    <w:p w:rsidR="00B07E25" w:rsidRDefault="00287A2C" w:rsidP="00B07E25">
      <w:pPr>
        <w:spacing w:after="120" w:line="240" w:lineRule="auto"/>
        <w:jc w:val="both"/>
        <w:rPr>
          <w:rFonts w:ascii="DecimaWE Rg" w:hAnsi="DecimaWE Rg"/>
          <w:i/>
          <w:sz w:val="20"/>
          <w:szCs w:val="20"/>
        </w:rPr>
      </w:pPr>
      <w:r>
        <w:rPr>
          <w:rFonts w:ascii="DecimaWE Rg" w:hAnsi="DecimaWE Rg"/>
          <w:i/>
          <w:sz w:val="20"/>
          <w:szCs w:val="20"/>
        </w:rPr>
        <w:t>Tab. 8</w:t>
      </w:r>
      <w:r w:rsidR="00B07E25">
        <w:rPr>
          <w:rFonts w:ascii="DecimaWE Rg" w:hAnsi="DecimaWE Rg"/>
          <w:i/>
          <w:sz w:val="20"/>
          <w:szCs w:val="20"/>
        </w:rPr>
        <w:t xml:space="preserve"> – Distribuzione di tutti i componenti </w:t>
      </w:r>
      <w:r w:rsidR="00225FB7">
        <w:rPr>
          <w:rFonts w:ascii="DecimaWE Rg" w:hAnsi="DecimaWE Rg"/>
          <w:i/>
          <w:sz w:val="20"/>
          <w:szCs w:val="20"/>
        </w:rPr>
        <w:t>de</w:t>
      </w:r>
      <w:r w:rsidR="00B07E25">
        <w:rPr>
          <w:rFonts w:ascii="DecimaWE Rg" w:hAnsi="DecimaWE Rg"/>
          <w:i/>
          <w:sz w:val="20"/>
          <w:szCs w:val="20"/>
        </w:rPr>
        <w:t>i nuclei beneficiari per cittadinanza e paese di nascita, valori assoluti e percentuali.</w:t>
      </w:r>
    </w:p>
    <w:p w:rsidR="00B07E25" w:rsidRDefault="005D67F5" w:rsidP="00B07E25">
      <w:pPr>
        <w:spacing w:after="120" w:line="240" w:lineRule="auto"/>
        <w:jc w:val="both"/>
        <w:rPr>
          <w:rFonts w:ascii="DecimaWE Rg" w:hAnsi="DecimaWE Rg"/>
          <w:i/>
          <w:sz w:val="20"/>
          <w:szCs w:val="20"/>
        </w:rPr>
      </w:pPr>
      <w:r w:rsidRPr="005D67F5">
        <w:rPr>
          <w:noProof/>
          <w:lang w:eastAsia="it-IT"/>
        </w:rPr>
        <w:drawing>
          <wp:inline distT="0" distB="0" distL="0" distR="0">
            <wp:extent cx="3898600" cy="1666875"/>
            <wp:effectExtent l="0" t="0" r="698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1207" cy="1667990"/>
                    </a:xfrm>
                    <a:prstGeom prst="rect">
                      <a:avLst/>
                    </a:prstGeom>
                    <a:noFill/>
                    <a:ln>
                      <a:noFill/>
                    </a:ln>
                  </pic:spPr>
                </pic:pic>
              </a:graphicData>
            </a:graphic>
          </wp:inline>
        </w:drawing>
      </w:r>
    </w:p>
    <w:p w:rsidR="00B07E25" w:rsidRDefault="00B07E25" w:rsidP="00B07E25">
      <w:pPr>
        <w:spacing w:after="120" w:line="240" w:lineRule="auto"/>
        <w:jc w:val="both"/>
        <w:rPr>
          <w:rFonts w:ascii="DecimaWE Rg" w:hAnsi="DecimaWE Rg"/>
          <w:i/>
          <w:sz w:val="16"/>
          <w:szCs w:val="16"/>
        </w:rPr>
      </w:pPr>
      <w:r>
        <w:rPr>
          <w:rFonts w:ascii="DecimaWE Rg" w:hAnsi="DecimaWE Rg"/>
          <w:i/>
          <w:sz w:val="16"/>
          <w:szCs w:val="16"/>
        </w:rPr>
        <w:t>Fonte: SIMIA rif. domande dal 22/10/2015 al 22/10/2018 estrazione dati al 15/02/2019</w:t>
      </w:r>
    </w:p>
    <w:p w:rsidR="00287A2C" w:rsidRDefault="00287A2C" w:rsidP="00B07E25">
      <w:pPr>
        <w:spacing w:after="120" w:line="240" w:lineRule="auto"/>
        <w:jc w:val="both"/>
        <w:rPr>
          <w:rFonts w:ascii="DecimaWE Rg" w:hAnsi="DecimaWE Rg"/>
          <w:i/>
          <w:sz w:val="16"/>
          <w:szCs w:val="16"/>
        </w:rPr>
      </w:pPr>
    </w:p>
    <w:p w:rsidR="00196284" w:rsidRDefault="00196284" w:rsidP="00B07E25">
      <w:pPr>
        <w:spacing w:after="120" w:line="240" w:lineRule="auto"/>
        <w:jc w:val="both"/>
        <w:rPr>
          <w:rFonts w:ascii="DecimaWE Rg" w:hAnsi="DecimaWE Rg"/>
          <w:i/>
          <w:sz w:val="16"/>
          <w:szCs w:val="16"/>
        </w:rPr>
      </w:pPr>
    </w:p>
    <w:p w:rsidR="00196284" w:rsidRDefault="00196284" w:rsidP="00B07E25">
      <w:pPr>
        <w:spacing w:after="120" w:line="240" w:lineRule="auto"/>
        <w:jc w:val="both"/>
        <w:rPr>
          <w:rFonts w:ascii="DecimaWE Rg" w:hAnsi="DecimaWE Rg"/>
          <w:i/>
          <w:sz w:val="16"/>
          <w:szCs w:val="16"/>
        </w:rPr>
      </w:pPr>
    </w:p>
    <w:p w:rsidR="00196284" w:rsidRDefault="00196284" w:rsidP="00B07E25">
      <w:pPr>
        <w:spacing w:after="120" w:line="240" w:lineRule="auto"/>
        <w:jc w:val="both"/>
        <w:rPr>
          <w:rFonts w:ascii="DecimaWE Rg" w:hAnsi="DecimaWE Rg"/>
          <w:i/>
          <w:sz w:val="16"/>
          <w:szCs w:val="16"/>
        </w:rPr>
      </w:pPr>
    </w:p>
    <w:p w:rsidR="00196284" w:rsidRDefault="00196284" w:rsidP="00B07E25">
      <w:pPr>
        <w:spacing w:after="120" w:line="240" w:lineRule="auto"/>
        <w:jc w:val="both"/>
        <w:rPr>
          <w:rFonts w:ascii="DecimaWE Rg" w:hAnsi="DecimaWE Rg"/>
          <w:i/>
          <w:sz w:val="16"/>
          <w:szCs w:val="16"/>
        </w:rPr>
      </w:pPr>
    </w:p>
    <w:p w:rsidR="00196284" w:rsidRDefault="00196284" w:rsidP="00B07E25">
      <w:pPr>
        <w:spacing w:after="120" w:line="240" w:lineRule="auto"/>
        <w:jc w:val="both"/>
        <w:rPr>
          <w:rFonts w:ascii="DecimaWE Rg" w:hAnsi="DecimaWE Rg"/>
          <w:i/>
          <w:sz w:val="16"/>
          <w:szCs w:val="16"/>
        </w:rPr>
      </w:pPr>
    </w:p>
    <w:p w:rsidR="00196284" w:rsidRDefault="00196284" w:rsidP="00B07E25">
      <w:pPr>
        <w:spacing w:after="120" w:line="240" w:lineRule="auto"/>
        <w:jc w:val="both"/>
        <w:rPr>
          <w:rFonts w:ascii="DecimaWE Rg" w:hAnsi="DecimaWE Rg"/>
          <w:i/>
          <w:sz w:val="16"/>
          <w:szCs w:val="16"/>
        </w:rPr>
      </w:pPr>
    </w:p>
    <w:p w:rsidR="00C44B06" w:rsidRDefault="00287A2C" w:rsidP="00C44B06">
      <w:pPr>
        <w:spacing w:line="240" w:lineRule="auto"/>
        <w:jc w:val="both"/>
        <w:rPr>
          <w:rFonts w:ascii="DecimaWE Rg" w:hAnsi="DecimaWE Rg"/>
          <w:i/>
          <w:sz w:val="20"/>
          <w:szCs w:val="20"/>
        </w:rPr>
      </w:pPr>
      <w:r>
        <w:rPr>
          <w:rFonts w:ascii="DecimaWE Rg" w:hAnsi="DecimaWE Rg"/>
          <w:i/>
          <w:sz w:val="20"/>
          <w:szCs w:val="20"/>
        </w:rPr>
        <w:lastRenderedPageBreak/>
        <w:t>Tab. 9</w:t>
      </w:r>
      <w:r w:rsidR="00C44B06">
        <w:rPr>
          <w:rFonts w:ascii="DecimaWE Rg" w:hAnsi="DecimaWE Rg"/>
          <w:i/>
          <w:sz w:val="20"/>
          <w:szCs w:val="20"/>
        </w:rPr>
        <w:t xml:space="preserve"> – Distribuzione di tutti i componenti dei nuclei beneficiari per condizione professionale</w:t>
      </w:r>
      <w:r w:rsidR="00C44B06">
        <w:rPr>
          <w:rStyle w:val="Rimandonotaapidipagina"/>
          <w:rFonts w:ascii="DecimaWE Rg" w:hAnsi="DecimaWE Rg"/>
          <w:i/>
        </w:rPr>
        <w:footnoteReference w:id="6"/>
      </w:r>
      <w:r w:rsidR="00C44B06">
        <w:rPr>
          <w:rFonts w:ascii="DecimaWE Rg" w:hAnsi="DecimaWE Rg"/>
          <w:i/>
          <w:sz w:val="20"/>
          <w:szCs w:val="20"/>
        </w:rPr>
        <w:t>, valori assoluti e percentuali.</w:t>
      </w:r>
    </w:p>
    <w:p w:rsidR="00F12753" w:rsidRDefault="00F12753" w:rsidP="00C44B06">
      <w:pPr>
        <w:spacing w:line="240" w:lineRule="auto"/>
        <w:jc w:val="both"/>
        <w:rPr>
          <w:rFonts w:ascii="DecimaWE Rg" w:hAnsi="DecimaWE Rg"/>
          <w:i/>
          <w:sz w:val="20"/>
          <w:szCs w:val="20"/>
        </w:rPr>
      </w:pPr>
      <w:r w:rsidRPr="00F12753">
        <w:rPr>
          <w:noProof/>
          <w:lang w:eastAsia="it-IT"/>
        </w:rPr>
        <w:drawing>
          <wp:inline distT="0" distB="0" distL="0" distR="0">
            <wp:extent cx="4014810" cy="125730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1076" cy="1259262"/>
                    </a:xfrm>
                    <a:prstGeom prst="rect">
                      <a:avLst/>
                    </a:prstGeom>
                    <a:noFill/>
                    <a:ln>
                      <a:noFill/>
                    </a:ln>
                  </pic:spPr>
                </pic:pic>
              </a:graphicData>
            </a:graphic>
          </wp:inline>
        </w:drawing>
      </w:r>
    </w:p>
    <w:p w:rsidR="00C44B06" w:rsidRDefault="005625D7" w:rsidP="007E2B55">
      <w:pPr>
        <w:spacing w:after="0" w:line="240" w:lineRule="auto"/>
        <w:jc w:val="both"/>
        <w:rPr>
          <w:rFonts w:ascii="DecimaWE Rg" w:hAnsi="DecimaWE Rg"/>
          <w:i/>
          <w:sz w:val="16"/>
          <w:szCs w:val="16"/>
        </w:rPr>
      </w:pPr>
      <w:r>
        <w:rPr>
          <w:rFonts w:ascii="DecimaWE Rg" w:hAnsi="DecimaWE Rg"/>
          <w:i/>
          <w:sz w:val="16"/>
          <w:szCs w:val="16"/>
        </w:rPr>
        <w:t>Fonte: SIMIA rif. domande dal 22/10/2015 al 22/10/2018 estrazione dati al 15/02/2019</w:t>
      </w:r>
    </w:p>
    <w:p w:rsidR="00F12753" w:rsidRDefault="00F12753" w:rsidP="007E2B55">
      <w:pPr>
        <w:spacing w:after="0" w:line="240" w:lineRule="auto"/>
        <w:jc w:val="both"/>
        <w:rPr>
          <w:rFonts w:ascii="DecimaWE Rg" w:hAnsi="DecimaWE Rg"/>
          <w:i/>
          <w:sz w:val="16"/>
          <w:szCs w:val="16"/>
        </w:rPr>
      </w:pPr>
      <w:r>
        <w:rPr>
          <w:rFonts w:ascii="DecimaWE Rg" w:hAnsi="DecimaWE Rg"/>
          <w:i/>
          <w:sz w:val="16"/>
          <w:szCs w:val="16"/>
        </w:rPr>
        <w:t>*Nella tipologia “Studente” sono stati ricompresi anche tutti i minori di 14 anni classificati in origine da DSU come “Altro”.</w:t>
      </w:r>
    </w:p>
    <w:p w:rsidR="007E2B55" w:rsidRDefault="007E2B55" w:rsidP="00C44B06">
      <w:pPr>
        <w:spacing w:line="240" w:lineRule="auto"/>
        <w:jc w:val="both"/>
        <w:rPr>
          <w:rFonts w:ascii="DecimaWE Rg" w:hAnsi="DecimaWE Rg"/>
          <w:i/>
          <w:sz w:val="20"/>
          <w:szCs w:val="20"/>
        </w:rPr>
      </w:pPr>
    </w:p>
    <w:p w:rsidR="00E14E00" w:rsidRDefault="00E14E00" w:rsidP="00C44B06">
      <w:pPr>
        <w:spacing w:line="240" w:lineRule="auto"/>
        <w:jc w:val="both"/>
        <w:rPr>
          <w:rFonts w:ascii="DecimaWE Rg" w:hAnsi="DecimaWE Rg"/>
          <w:i/>
          <w:sz w:val="20"/>
          <w:szCs w:val="20"/>
        </w:rPr>
      </w:pPr>
      <w:r>
        <w:rPr>
          <w:rFonts w:ascii="DecimaWE Rg" w:hAnsi="DecimaWE Rg"/>
          <w:i/>
          <w:sz w:val="20"/>
          <w:szCs w:val="20"/>
        </w:rPr>
        <w:t>Graf. 2 – Distribuzione di tutti i componenti dei nuclei beneficiari per condizione professionale</w:t>
      </w:r>
      <w:r>
        <w:rPr>
          <w:rStyle w:val="Rimandonotaapidipagina"/>
          <w:rFonts w:ascii="DecimaWE Rg" w:hAnsi="DecimaWE Rg"/>
          <w:i/>
        </w:rPr>
        <w:footnoteReference w:id="7"/>
      </w:r>
      <w:r>
        <w:rPr>
          <w:rFonts w:ascii="DecimaWE Rg" w:hAnsi="DecimaWE Rg"/>
          <w:i/>
          <w:sz w:val="20"/>
          <w:szCs w:val="20"/>
        </w:rPr>
        <w:t xml:space="preserve"> e sesso (valori assoluti)</w:t>
      </w:r>
    </w:p>
    <w:p w:rsidR="007E2B55" w:rsidRDefault="007E2B55" w:rsidP="00C44B06">
      <w:pPr>
        <w:spacing w:line="240" w:lineRule="auto"/>
        <w:jc w:val="both"/>
        <w:rPr>
          <w:rFonts w:ascii="DecimaWE Rg" w:hAnsi="DecimaWE Rg"/>
          <w:i/>
          <w:sz w:val="20"/>
          <w:szCs w:val="20"/>
        </w:rPr>
      </w:pPr>
      <w:r>
        <w:rPr>
          <w:rFonts w:ascii="DecimaWE Rg" w:hAnsi="DecimaWE Rg"/>
          <w:i/>
          <w:noProof/>
          <w:sz w:val="20"/>
          <w:szCs w:val="20"/>
          <w:lang w:eastAsia="it-IT"/>
        </w:rPr>
        <w:drawing>
          <wp:inline distT="0" distB="0" distL="0" distR="0" wp14:anchorId="6A055991">
            <wp:extent cx="4057650" cy="2131109"/>
            <wp:effectExtent l="0" t="0" r="0" b="254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0462" cy="2132586"/>
                    </a:xfrm>
                    <a:prstGeom prst="rect">
                      <a:avLst/>
                    </a:prstGeom>
                    <a:noFill/>
                  </pic:spPr>
                </pic:pic>
              </a:graphicData>
            </a:graphic>
          </wp:inline>
        </w:drawing>
      </w:r>
    </w:p>
    <w:p w:rsidR="00E14E00" w:rsidRDefault="00E14E00" w:rsidP="00C44B06">
      <w:pPr>
        <w:spacing w:line="240" w:lineRule="auto"/>
        <w:jc w:val="both"/>
        <w:rPr>
          <w:rFonts w:ascii="DecimaWE Rg" w:hAnsi="DecimaWE Rg"/>
          <w:i/>
          <w:sz w:val="20"/>
          <w:szCs w:val="20"/>
        </w:rPr>
      </w:pPr>
    </w:p>
    <w:p w:rsidR="00C44B06" w:rsidRDefault="00C44B06" w:rsidP="00C44B06">
      <w:pPr>
        <w:spacing w:line="240" w:lineRule="auto"/>
        <w:jc w:val="both"/>
        <w:rPr>
          <w:rFonts w:ascii="DecimaWE Rg" w:hAnsi="DecimaWE Rg"/>
          <w:i/>
          <w:sz w:val="20"/>
          <w:szCs w:val="20"/>
        </w:rPr>
      </w:pPr>
      <w:r w:rsidRPr="00223125">
        <w:rPr>
          <w:rFonts w:ascii="DecimaWE Rg" w:hAnsi="DecimaWE Rg"/>
          <w:i/>
          <w:sz w:val="20"/>
          <w:szCs w:val="20"/>
        </w:rPr>
        <w:t>Tab. 10 – Distribuzione dei soli componenti in età da lavoro (15-64 an</w:t>
      </w:r>
      <w:r w:rsidR="008160AA">
        <w:rPr>
          <w:rFonts w:ascii="DecimaWE Rg" w:hAnsi="DecimaWE Rg"/>
          <w:i/>
          <w:sz w:val="20"/>
          <w:szCs w:val="20"/>
        </w:rPr>
        <w:t>ni) per condizione professionale</w:t>
      </w:r>
      <w:r w:rsidR="008160AA" w:rsidRPr="008160AA">
        <w:rPr>
          <w:rFonts w:ascii="DecimaWE Rg" w:hAnsi="DecimaWE Rg"/>
          <w:i/>
          <w:sz w:val="20"/>
          <w:szCs w:val="20"/>
          <w:vertAlign w:val="superscript"/>
        </w:rPr>
        <w:t>2</w:t>
      </w:r>
      <w:r w:rsidRPr="00223125">
        <w:rPr>
          <w:rFonts w:ascii="DecimaWE Rg" w:hAnsi="DecimaWE Rg"/>
          <w:i/>
          <w:sz w:val="20"/>
          <w:szCs w:val="20"/>
        </w:rPr>
        <w:t>, valori assoluti e percentuali.</w:t>
      </w:r>
    </w:p>
    <w:p w:rsidR="00BF235B" w:rsidRPr="00223125" w:rsidRDefault="00BF235B" w:rsidP="00C44B06">
      <w:pPr>
        <w:spacing w:line="240" w:lineRule="auto"/>
        <w:jc w:val="both"/>
        <w:rPr>
          <w:rFonts w:ascii="DecimaWE Rg" w:hAnsi="DecimaWE Rg"/>
          <w:i/>
          <w:sz w:val="20"/>
          <w:szCs w:val="20"/>
        </w:rPr>
      </w:pPr>
      <w:r w:rsidRPr="00BF235B">
        <w:rPr>
          <w:noProof/>
          <w:lang w:eastAsia="it-IT"/>
        </w:rPr>
        <w:drawing>
          <wp:inline distT="0" distB="0" distL="0" distR="0">
            <wp:extent cx="3898755" cy="2276475"/>
            <wp:effectExtent l="0" t="0" r="698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6615" cy="2281064"/>
                    </a:xfrm>
                    <a:prstGeom prst="rect">
                      <a:avLst/>
                    </a:prstGeom>
                    <a:noFill/>
                    <a:ln>
                      <a:noFill/>
                    </a:ln>
                  </pic:spPr>
                </pic:pic>
              </a:graphicData>
            </a:graphic>
          </wp:inline>
        </w:drawing>
      </w:r>
    </w:p>
    <w:p w:rsidR="001A30B0" w:rsidRDefault="00B07E25" w:rsidP="001A30B0">
      <w:pPr>
        <w:spacing w:line="240" w:lineRule="auto"/>
        <w:jc w:val="both"/>
        <w:rPr>
          <w:rFonts w:ascii="DecimaWE Rg" w:hAnsi="DecimaWE Rg"/>
          <w:i/>
          <w:sz w:val="16"/>
          <w:szCs w:val="16"/>
        </w:rPr>
      </w:pPr>
      <w:r>
        <w:rPr>
          <w:rFonts w:ascii="DecimaWE Rg" w:hAnsi="DecimaWE Rg"/>
          <w:i/>
          <w:sz w:val="16"/>
          <w:szCs w:val="16"/>
        </w:rPr>
        <w:t>Fonte: SIMIA rif. domande dal 22/10/2015 al 22/10/2018 estrazione dati al 15/02/2019</w:t>
      </w:r>
    </w:p>
    <w:p w:rsidR="001A30B0" w:rsidRDefault="002817CB" w:rsidP="001A30B0">
      <w:pPr>
        <w:spacing w:line="240" w:lineRule="auto"/>
        <w:jc w:val="both"/>
        <w:rPr>
          <w:rFonts w:ascii="DecimaWE Rg" w:hAnsi="DecimaWE Rg"/>
          <w:i/>
          <w:sz w:val="20"/>
          <w:szCs w:val="20"/>
        </w:rPr>
      </w:pPr>
      <w:r w:rsidRPr="002817CB">
        <w:rPr>
          <w:rFonts w:ascii="DecimaWE Rg" w:hAnsi="DecimaWE Rg"/>
          <w:i/>
          <w:sz w:val="20"/>
          <w:szCs w:val="20"/>
        </w:rPr>
        <w:lastRenderedPageBreak/>
        <w:t>Graf.3</w:t>
      </w:r>
      <w:r>
        <w:rPr>
          <w:rFonts w:ascii="DecimaWE Rg" w:hAnsi="DecimaWE Rg"/>
          <w:i/>
          <w:sz w:val="16"/>
          <w:szCs w:val="16"/>
        </w:rPr>
        <w:t xml:space="preserve"> </w:t>
      </w:r>
      <w:r w:rsidR="001A30B0" w:rsidRPr="00223125">
        <w:rPr>
          <w:rFonts w:ascii="DecimaWE Rg" w:hAnsi="DecimaWE Rg"/>
          <w:i/>
          <w:sz w:val="20"/>
          <w:szCs w:val="20"/>
        </w:rPr>
        <w:t>– Distribuzione dei soli componenti in età da lavoro (15-64 an</w:t>
      </w:r>
      <w:r w:rsidR="001A30B0">
        <w:rPr>
          <w:rFonts w:ascii="DecimaWE Rg" w:hAnsi="DecimaWE Rg"/>
          <w:i/>
          <w:sz w:val="20"/>
          <w:szCs w:val="20"/>
        </w:rPr>
        <w:t>ni) per condizione professionale</w:t>
      </w:r>
      <w:r w:rsidR="001A30B0" w:rsidRPr="008160AA">
        <w:rPr>
          <w:rFonts w:ascii="DecimaWE Rg" w:hAnsi="DecimaWE Rg"/>
          <w:i/>
          <w:sz w:val="20"/>
          <w:szCs w:val="20"/>
          <w:vertAlign w:val="superscript"/>
        </w:rPr>
        <w:t>2</w:t>
      </w:r>
      <w:r w:rsidR="001A30B0">
        <w:rPr>
          <w:rFonts w:ascii="DecimaWE Rg" w:hAnsi="DecimaWE Rg"/>
          <w:i/>
          <w:sz w:val="20"/>
          <w:szCs w:val="20"/>
        </w:rPr>
        <w:t xml:space="preserve"> e fascia ISEE di accesso (valori</w:t>
      </w:r>
      <w:r w:rsidR="001A30B0" w:rsidRPr="00223125">
        <w:rPr>
          <w:rFonts w:ascii="DecimaWE Rg" w:hAnsi="DecimaWE Rg"/>
          <w:i/>
          <w:sz w:val="20"/>
          <w:szCs w:val="20"/>
        </w:rPr>
        <w:t xml:space="preserve"> percentuali</w:t>
      </w:r>
      <w:r w:rsidR="001A30B0">
        <w:rPr>
          <w:rFonts w:ascii="DecimaWE Rg" w:hAnsi="DecimaWE Rg"/>
          <w:i/>
          <w:sz w:val="20"/>
          <w:szCs w:val="20"/>
        </w:rPr>
        <w:t>)</w:t>
      </w:r>
      <w:r w:rsidR="001A30B0" w:rsidRPr="00223125">
        <w:rPr>
          <w:rFonts w:ascii="DecimaWE Rg" w:hAnsi="DecimaWE Rg"/>
          <w:i/>
          <w:sz w:val="20"/>
          <w:szCs w:val="20"/>
        </w:rPr>
        <w:t>.</w:t>
      </w:r>
    </w:p>
    <w:p w:rsidR="005827D2" w:rsidRDefault="005827D2" w:rsidP="001A30B0">
      <w:pPr>
        <w:spacing w:line="240" w:lineRule="auto"/>
        <w:jc w:val="both"/>
        <w:rPr>
          <w:rFonts w:ascii="DecimaWE Rg" w:hAnsi="DecimaWE Rg"/>
          <w:i/>
          <w:sz w:val="20"/>
          <w:szCs w:val="20"/>
        </w:rPr>
      </w:pPr>
      <w:r>
        <w:rPr>
          <w:rFonts w:ascii="DecimaWE Rg" w:hAnsi="DecimaWE Rg"/>
          <w:i/>
          <w:noProof/>
          <w:sz w:val="20"/>
          <w:szCs w:val="20"/>
          <w:lang w:eastAsia="it-IT"/>
        </w:rPr>
        <w:drawing>
          <wp:inline distT="0" distB="0" distL="0" distR="0" wp14:anchorId="2252F44F">
            <wp:extent cx="3643953" cy="2156926"/>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49336" cy="2160113"/>
                    </a:xfrm>
                    <a:prstGeom prst="rect">
                      <a:avLst/>
                    </a:prstGeom>
                    <a:noFill/>
                  </pic:spPr>
                </pic:pic>
              </a:graphicData>
            </a:graphic>
          </wp:inline>
        </w:drawing>
      </w:r>
    </w:p>
    <w:p w:rsidR="00BC4B1A" w:rsidRDefault="00BC4B1A" w:rsidP="00C44B06">
      <w:pPr>
        <w:spacing w:line="240" w:lineRule="auto"/>
        <w:jc w:val="both"/>
        <w:rPr>
          <w:rFonts w:ascii="DecimaWE Rg" w:hAnsi="DecimaWE Rg"/>
          <w:i/>
          <w:sz w:val="20"/>
          <w:szCs w:val="20"/>
        </w:rPr>
      </w:pPr>
    </w:p>
    <w:p w:rsidR="003611D3" w:rsidRDefault="00C44B06" w:rsidP="00C44B06">
      <w:pPr>
        <w:spacing w:line="240" w:lineRule="auto"/>
        <w:jc w:val="both"/>
        <w:rPr>
          <w:rFonts w:ascii="DecimaWE Rg" w:hAnsi="DecimaWE Rg"/>
          <w:i/>
          <w:sz w:val="20"/>
          <w:szCs w:val="20"/>
        </w:rPr>
      </w:pPr>
      <w:r>
        <w:rPr>
          <w:rFonts w:ascii="DecimaWE Rg" w:hAnsi="DecimaWE Rg"/>
          <w:i/>
          <w:sz w:val="20"/>
          <w:szCs w:val="20"/>
        </w:rPr>
        <w:t xml:space="preserve">Tab. 11 – Distribuzione di tutti i componenti </w:t>
      </w:r>
      <w:r w:rsidR="00225FB7">
        <w:rPr>
          <w:rFonts w:ascii="DecimaWE Rg" w:hAnsi="DecimaWE Rg"/>
          <w:i/>
          <w:sz w:val="20"/>
          <w:szCs w:val="20"/>
        </w:rPr>
        <w:t>de</w:t>
      </w:r>
      <w:r>
        <w:rPr>
          <w:rFonts w:ascii="DecimaWE Rg" w:hAnsi="DecimaWE Rg"/>
          <w:i/>
          <w:sz w:val="20"/>
          <w:szCs w:val="20"/>
        </w:rPr>
        <w:t>i nuclei beneficiari per classe d’età</w:t>
      </w:r>
      <w:r w:rsidR="003611D3">
        <w:rPr>
          <w:rFonts w:ascii="DecimaWE Rg" w:hAnsi="DecimaWE Rg"/>
          <w:i/>
          <w:sz w:val="20"/>
          <w:szCs w:val="20"/>
        </w:rPr>
        <w:t xml:space="preserve"> e sesso</w:t>
      </w:r>
      <w:r>
        <w:rPr>
          <w:rFonts w:ascii="DecimaWE Rg" w:hAnsi="DecimaWE Rg"/>
          <w:i/>
          <w:sz w:val="20"/>
          <w:szCs w:val="20"/>
        </w:rPr>
        <w:t>, valori assoluti e percentuali.</w:t>
      </w:r>
      <w:r w:rsidR="00357563">
        <w:rPr>
          <w:rFonts w:ascii="DecimaWE Rg" w:hAnsi="DecimaWE Rg"/>
          <w:i/>
          <w:sz w:val="20"/>
          <w:szCs w:val="20"/>
        </w:rPr>
        <w:t xml:space="preserve"> </w:t>
      </w:r>
    </w:p>
    <w:p w:rsidR="003611D3" w:rsidRDefault="003611D3" w:rsidP="00C44B06">
      <w:pPr>
        <w:spacing w:line="240" w:lineRule="auto"/>
        <w:jc w:val="both"/>
        <w:rPr>
          <w:rFonts w:ascii="DecimaWE Rg" w:hAnsi="DecimaWE Rg"/>
          <w:i/>
          <w:sz w:val="20"/>
          <w:szCs w:val="20"/>
        </w:rPr>
      </w:pPr>
      <w:r w:rsidRPr="003611D3">
        <w:rPr>
          <w:noProof/>
          <w:lang w:eastAsia="it-IT"/>
        </w:rPr>
        <w:drawing>
          <wp:inline distT="0" distB="0" distL="0" distR="0">
            <wp:extent cx="4714875" cy="1987550"/>
            <wp:effectExtent l="0" t="0" r="9525"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14875" cy="1987550"/>
                    </a:xfrm>
                    <a:prstGeom prst="rect">
                      <a:avLst/>
                    </a:prstGeom>
                    <a:noFill/>
                    <a:ln>
                      <a:noFill/>
                    </a:ln>
                  </pic:spPr>
                </pic:pic>
              </a:graphicData>
            </a:graphic>
          </wp:inline>
        </w:drawing>
      </w:r>
    </w:p>
    <w:p w:rsidR="005625D7" w:rsidRDefault="005625D7" w:rsidP="00723B00">
      <w:pPr>
        <w:spacing w:after="0" w:line="240" w:lineRule="auto"/>
        <w:jc w:val="both"/>
        <w:rPr>
          <w:rFonts w:ascii="DecimaWE Rg" w:hAnsi="DecimaWE Rg"/>
          <w:i/>
          <w:sz w:val="16"/>
          <w:szCs w:val="16"/>
        </w:rPr>
      </w:pPr>
      <w:r>
        <w:rPr>
          <w:rFonts w:ascii="DecimaWE Rg" w:hAnsi="DecimaWE Rg"/>
          <w:i/>
          <w:sz w:val="16"/>
          <w:szCs w:val="16"/>
        </w:rPr>
        <w:t>Fonte: SIMIA rif. domande dal 22/10/2015 al 22/10/2018 estrazione dati al 15/02/2019</w:t>
      </w:r>
    </w:p>
    <w:p w:rsidR="00196284" w:rsidRDefault="00196284">
      <w:pPr>
        <w:rPr>
          <w:rFonts w:ascii="DecimaWE Rg" w:hAnsi="DecimaWE Rg"/>
          <w:i/>
          <w:sz w:val="16"/>
          <w:szCs w:val="16"/>
        </w:rPr>
      </w:pPr>
      <w:r>
        <w:rPr>
          <w:rFonts w:ascii="DecimaWE Rg" w:hAnsi="DecimaWE Rg"/>
          <w:i/>
          <w:sz w:val="16"/>
          <w:szCs w:val="16"/>
        </w:rPr>
        <w:br w:type="page"/>
      </w:r>
    </w:p>
    <w:p w:rsidR="009136DD" w:rsidRDefault="008A4871" w:rsidP="008A4871">
      <w:pPr>
        <w:spacing w:line="240" w:lineRule="auto"/>
        <w:jc w:val="both"/>
        <w:rPr>
          <w:rFonts w:ascii="DecimaWE Rg" w:hAnsi="DecimaWE Rg"/>
          <w:i/>
          <w:sz w:val="20"/>
          <w:szCs w:val="20"/>
        </w:rPr>
      </w:pPr>
      <w:r w:rsidRPr="008A4871">
        <w:rPr>
          <w:rFonts w:ascii="DecimaWE Rg" w:hAnsi="DecimaWE Rg"/>
          <w:i/>
          <w:sz w:val="20"/>
          <w:szCs w:val="20"/>
        </w:rPr>
        <w:lastRenderedPageBreak/>
        <w:t xml:space="preserve">Tab. 12 – Distribuzione </w:t>
      </w:r>
      <w:r>
        <w:rPr>
          <w:rFonts w:ascii="DecimaWE Rg" w:hAnsi="DecimaWE Rg"/>
          <w:i/>
          <w:sz w:val="20"/>
          <w:szCs w:val="20"/>
        </w:rPr>
        <w:t xml:space="preserve">per SSC dei nuclei beneficiari e dei </w:t>
      </w:r>
      <w:r w:rsidRPr="008A4871">
        <w:rPr>
          <w:rFonts w:ascii="DecimaWE Rg" w:hAnsi="DecimaWE Rg"/>
          <w:i/>
          <w:sz w:val="20"/>
          <w:szCs w:val="20"/>
        </w:rPr>
        <w:t xml:space="preserve">nuclei con </w:t>
      </w:r>
      <w:r>
        <w:rPr>
          <w:rFonts w:ascii="DecimaWE Rg" w:hAnsi="DecimaWE Rg"/>
          <w:i/>
          <w:sz w:val="20"/>
          <w:szCs w:val="20"/>
        </w:rPr>
        <w:t>patti a sistema con riferimento alle aree obiettivo in essi contenuti; percentuale di nuclei senza patto</w:t>
      </w:r>
      <w:r w:rsidRPr="008A4871">
        <w:rPr>
          <w:rFonts w:ascii="DecimaWE Rg" w:hAnsi="DecimaWE Rg"/>
          <w:i/>
          <w:sz w:val="20"/>
          <w:szCs w:val="20"/>
        </w:rPr>
        <w:t>.</w:t>
      </w:r>
    </w:p>
    <w:p w:rsidR="00A02039" w:rsidRDefault="00A02039" w:rsidP="008A4871">
      <w:pPr>
        <w:spacing w:line="240" w:lineRule="auto"/>
        <w:jc w:val="both"/>
        <w:rPr>
          <w:rFonts w:ascii="DecimaWE Rg" w:hAnsi="DecimaWE Rg"/>
          <w:i/>
          <w:sz w:val="20"/>
          <w:szCs w:val="20"/>
        </w:rPr>
      </w:pPr>
      <w:r w:rsidRPr="00A02039">
        <w:rPr>
          <w:noProof/>
          <w:lang w:eastAsia="it-IT"/>
        </w:rPr>
        <w:drawing>
          <wp:inline distT="0" distB="0" distL="0" distR="0" wp14:anchorId="05645F1F" wp14:editId="76A1EDB8">
            <wp:extent cx="6120130" cy="4396502"/>
            <wp:effectExtent l="0" t="0" r="0" b="444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4396502"/>
                    </a:xfrm>
                    <a:prstGeom prst="rect">
                      <a:avLst/>
                    </a:prstGeom>
                    <a:noFill/>
                    <a:ln>
                      <a:noFill/>
                    </a:ln>
                  </pic:spPr>
                </pic:pic>
              </a:graphicData>
            </a:graphic>
          </wp:inline>
        </w:drawing>
      </w:r>
    </w:p>
    <w:p w:rsidR="007E2B55" w:rsidRDefault="007E2B55" w:rsidP="007E2B55">
      <w:pPr>
        <w:spacing w:after="0" w:line="240" w:lineRule="auto"/>
        <w:jc w:val="both"/>
        <w:rPr>
          <w:rFonts w:ascii="DecimaWE Rg" w:hAnsi="DecimaWE Rg"/>
          <w:i/>
          <w:sz w:val="16"/>
          <w:szCs w:val="16"/>
        </w:rPr>
      </w:pPr>
      <w:r>
        <w:rPr>
          <w:rFonts w:ascii="DecimaWE Rg" w:hAnsi="DecimaWE Rg"/>
          <w:i/>
          <w:sz w:val="16"/>
          <w:szCs w:val="16"/>
        </w:rPr>
        <w:t>Fonte: SIMIA-CRM estrazione dati al 04.03.2019.</w:t>
      </w:r>
    </w:p>
    <w:p w:rsidR="0003576E" w:rsidRDefault="0003576E" w:rsidP="005D28E6">
      <w:pPr>
        <w:spacing w:line="240" w:lineRule="auto"/>
        <w:jc w:val="both"/>
        <w:rPr>
          <w:rFonts w:ascii="DecimaWE Rg" w:hAnsi="DecimaWE Rg"/>
          <w:i/>
          <w:sz w:val="20"/>
          <w:szCs w:val="20"/>
        </w:rPr>
      </w:pPr>
    </w:p>
    <w:p w:rsidR="005D28E6" w:rsidRDefault="005D28E6" w:rsidP="005D28E6">
      <w:pPr>
        <w:spacing w:line="240" w:lineRule="auto"/>
        <w:jc w:val="both"/>
        <w:rPr>
          <w:rFonts w:ascii="DecimaWE Rg" w:hAnsi="DecimaWE Rg"/>
          <w:i/>
          <w:sz w:val="20"/>
          <w:szCs w:val="20"/>
        </w:rPr>
      </w:pPr>
      <w:r>
        <w:rPr>
          <w:rFonts w:ascii="DecimaWE Rg" w:hAnsi="DecimaWE Rg"/>
          <w:i/>
          <w:sz w:val="20"/>
          <w:szCs w:val="20"/>
        </w:rPr>
        <w:t>Tab. 1</w:t>
      </w:r>
      <w:r w:rsidR="00A02039">
        <w:rPr>
          <w:rFonts w:ascii="DecimaWE Rg" w:hAnsi="DecimaWE Rg"/>
          <w:i/>
          <w:sz w:val="20"/>
          <w:szCs w:val="20"/>
        </w:rPr>
        <w:t>3</w:t>
      </w:r>
      <w:r>
        <w:rPr>
          <w:rFonts w:ascii="DecimaWE Rg" w:hAnsi="DecimaWE Rg"/>
          <w:i/>
          <w:sz w:val="20"/>
          <w:szCs w:val="20"/>
        </w:rPr>
        <w:t xml:space="preserve"> – Distribuzione dei nuclei con verifiche per aree obiettivo contenute nei progetti di presa in carico (possibili più aree obiettivo per lo stesso nucleo).</w:t>
      </w:r>
    </w:p>
    <w:p w:rsidR="005D28E6" w:rsidRDefault="005D28E6" w:rsidP="005D28E6">
      <w:pPr>
        <w:spacing w:line="240" w:lineRule="auto"/>
        <w:jc w:val="both"/>
        <w:rPr>
          <w:rFonts w:ascii="DecimaWE Rg" w:hAnsi="DecimaWE Rg"/>
          <w:i/>
          <w:sz w:val="20"/>
          <w:szCs w:val="20"/>
        </w:rPr>
      </w:pPr>
      <w:r w:rsidRPr="005D28E6">
        <w:rPr>
          <w:noProof/>
          <w:lang w:eastAsia="it-IT"/>
        </w:rPr>
        <w:drawing>
          <wp:inline distT="0" distB="0" distL="0" distR="0">
            <wp:extent cx="3655568" cy="1790700"/>
            <wp:effectExtent l="0" t="0" r="254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64234" cy="1794945"/>
                    </a:xfrm>
                    <a:prstGeom prst="rect">
                      <a:avLst/>
                    </a:prstGeom>
                    <a:noFill/>
                    <a:ln>
                      <a:noFill/>
                    </a:ln>
                  </pic:spPr>
                </pic:pic>
              </a:graphicData>
            </a:graphic>
          </wp:inline>
        </w:drawing>
      </w:r>
    </w:p>
    <w:p w:rsidR="007E2B55" w:rsidRDefault="007E2B55" w:rsidP="007E2B55">
      <w:pPr>
        <w:spacing w:after="0" w:line="240" w:lineRule="auto"/>
        <w:jc w:val="both"/>
        <w:rPr>
          <w:rFonts w:ascii="DecimaWE Rg" w:hAnsi="DecimaWE Rg"/>
          <w:i/>
          <w:sz w:val="16"/>
          <w:szCs w:val="16"/>
        </w:rPr>
      </w:pPr>
      <w:r>
        <w:rPr>
          <w:rFonts w:ascii="DecimaWE Rg" w:hAnsi="DecimaWE Rg"/>
          <w:i/>
          <w:sz w:val="16"/>
          <w:szCs w:val="16"/>
        </w:rPr>
        <w:t>Fonte: SIMIA-CRM estrazione dati al 04.03.2019.</w:t>
      </w:r>
    </w:p>
    <w:p w:rsidR="006512F3" w:rsidRDefault="006512F3" w:rsidP="005D28E6">
      <w:pPr>
        <w:spacing w:after="0" w:line="240" w:lineRule="auto"/>
        <w:jc w:val="both"/>
        <w:rPr>
          <w:rFonts w:ascii="DecimaWE Rg" w:hAnsi="DecimaWE Rg"/>
          <w:i/>
          <w:sz w:val="16"/>
          <w:szCs w:val="16"/>
        </w:rPr>
      </w:pPr>
    </w:p>
    <w:p w:rsidR="007E2B55" w:rsidRDefault="007E2B55" w:rsidP="005D28E6">
      <w:pPr>
        <w:spacing w:after="0" w:line="240" w:lineRule="auto"/>
        <w:jc w:val="both"/>
        <w:rPr>
          <w:rFonts w:ascii="DecimaWE Rg" w:hAnsi="DecimaWE Rg"/>
          <w:i/>
          <w:sz w:val="16"/>
          <w:szCs w:val="16"/>
        </w:rPr>
      </w:pPr>
    </w:p>
    <w:p w:rsidR="007E2B55" w:rsidRDefault="007E2B55" w:rsidP="005D28E6">
      <w:pPr>
        <w:spacing w:after="0" w:line="240" w:lineRule="auto"/>
        <w:jc w:val="both"/>
        <w:rPr>
          <w:rFonts w:ascii="DecimaWE Rg" w:hAnsi="DecimaWE Rg"/>
          <w:i/>
          <w:sz w:val="16"/>
          <w:szCs w:val="16"/>
        </w:rPr>
      </w:pPr>
    </w:p>
    <w:p w:rsidR="007E2B55" w:rsidRDefault="007E2B55" w:rsidP="005D28E6">
      <w:pPr>
        <w:spacing w:after="0" w:line="240" w:lineRule="auto"/>
        <w:jc w:val="both"/>
        <w:rPr>
          <w:rFonts w:ascii="DecimaWE Rg" w:hAnsi="DecimaWE Rg"/>
          <w:i/>
          <w:sz w:val="16"/>
          <w:szCs w:val="16"/>
        </w:rPr>
      </w:pPr>
    </w:p>
    <w:p w:rsidR="007E2B55" w:rsidRDefault="007E2B55" w:rsidP="005D28E6">
      <w:pPr>
        <w:spacing w:after="0" w:line="240" w:lineRule="auto"/>
        <w:jc w:val="both"/>
        <w:rPr>
          <w:rFonts w:ascii="DecimaWE Rg" w:hAnsi="DecimaWE Rg"/>
          <w:i/>
          <w:sz w:val="16"/>
          <w:szCs w:val="16"/>
        </w:rPr>
      </w:pPr>
    </w:p>
    <w:p w:rsidR="007E2B55" w:rsidRDefault="007E2B55" w:rsidP="005D28E6">
      <w:pPr>
        <w:spacing w:after="0" w:line="240" w:lineRule="auto"/>
        <w:jc w:val="both"/>
        <w:rPr>
          <w:rFonts w:ascii="DecimaWE Rg" w:hAnsi="DecimaWE Rg"/>
          <w:i/>
          <w:sz w:val="16"/>
          <w:szCs w:val="16"/>
        </w:rPr>
      </w:pPr>
    </w:p>
    <w:p w:rsidR="00A02039" w:rsidRDefault="00A02039" w:rsidP="005D28E6">
      <w:pPr>
        <w:spacing w:after="0" w:line="240" w:lineRule="auto"/>
        <w:jc w:val="both"/>
        <w:rPr>
          <w:rFonts w:ascii="DecimaWE Rg" w:hAnsi="DecimaWE Rg"/>
          <w:i/>
          <w:sz w:val="16"/>
          <w:szCs w:val="16"/>
        </w:rPr>
      </w:pPr>
    </w:p>
    <w:p w:rsidR="00A02039" w:rsidRDefault="00A02039" w:rsidP="005D28E6">
      <w:pPr>
        <w:spacing w:after="0" w:line="240" w:lineRule="auto"/>
        <w:jc w:val="both"/>
        <w:rPr>
          <w:rFonts w:ascii="DecimaWE Rg" w:hAnsi="DecimaWE Rg"/>
          <w:i/>
          <w:sz w:val="16"/>
          <w:szCs w:val="16"/>
        </w:rPr>
      </w:pPr>
    </w:p>
    <w:p w:rsidR="006512F3" w:rsidRDefault="006512F3" w:rsidP="006512F3">
      <w:pPr>
        <w:spacing w:line="240" w:lineRule="auto"/>
        <w:jc w:val="both"/>
        <w:rPr>
          <w:rFonts w:ascii="DecimaWE Rg" w:hAnsi="DecimaWE Rg"/>
          <w:i/>
          <w:sz w:val="20"/>
          <w:szCs w:val="20"/>
        </w:rPr>
      </w:pPr>
      <w:r>
        <w:rPr>
          <w:rFonts w:ascii="DecimaWE Rg" w:hAnsi="DecimaWE Rg"/>
          <w:i/>
          <w:sz w:val="20"/>
          <w:szCs w:val="20"/>
        </w:rPr>
        <w:lastRenderedPageBreak/>
        <w:t>Tab. 1</w:t>
      </w:r>
      <w:r w:rsidR="00A02039">
        <w:rPr>
          <w:rFonts w:ascii="DecimaWE Rg" w:hAnsi="DecimaWE Rg"/>
          <w:i/>
          <w:sz w:val="20"/>
          <w:szCs w:val="20"/>
        </w:rPr>
        <w:t>4</w:t>
      </w:r>
      <w:r>
        <w:rPr>
          <w:rFonts w:ascii="DecimaWE Rg" w:hAnsi="DecimaWE Rg"/>
          <w:i/>
          <w:sz w:val="20"/>
          <w:szCs w:val="20"/>
        </w:rPr>
        <w:t xml:space="preserve"> – Distribuzione dei nuclei con verifiche per aree obiettivo contenute nei progetti di presa in carico (possibili più aree obiettivo per lo stesso nucleo) e raggiungimento degli obiettivi riferiti alle stesse aree.</w:t>
      </w:r>
    </w:p>
    <w:p w:rsidR="005827D2" w:rsidRDefault="005827D2" w:rsidP="006512F3">
      <w:pPr>
        <w:spacing w:line="240" w:lineRule="auto"/>
        <w:jc w:val="both"/>
        <w:rPr>
          <w:rFonts w:ascii="DecimaWE Rg" w:hAnsi="DecimaWE Rg"/>
          <w:i/>
          <w:sz w:val="20"/>
          <w:szCs w:val="20"/>
        </w:rPr>
      </w:pPr>
      <w:r w:rsidRPr="005827D2">
        <w:rPr>
          <w:noProof/>
          <w:lang w:eastAsia="it-IT"/>
        </w:rPr>
        <w:drawing>
          <wp:inline distT="0" distB="0" distL="0" distR="0">
            <wp:extent cx="5220269" cy="2265400"/>
            <wp:effectExtent l="0" t="0" r="0" b="190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24777" cy="2267356"/>
                    </a:xfrm>
                    <a:prstGeom prst="rect">
                      <a:avLst/>
                    </a:prstGeom>
                    <a:noFill/>
                    <a:ln>
                      <a:noFill/>
                    </a:ln>
                  </pic:spPr>
                </pic:pic>
              </a:graphicData>
            </a:graphic>
          </wp:inline>
        </w:drawing>
      </w:r>
    </w:p>
    <w:p w:rsidR="006512F3" w:rsidRDefault="006512F3" w:rsidP="006512F3">
      <w:pPr>
        <w:spacing w:after="0" w:line="240" w:lineRule="auto"/>
        <w:jc w:val="both"/>
        <w:rPr>
          <w:rFonts w:ascii="DecimaWE Rg" w:hAnsi="DecimaWE Rg"/>
          <w:i/>
          <w:sz w:val="16"/>
          <w:szCs w:val="16"/>
        </w:rPr>
      </w:pPr>
      <w:r>
        <w:rPr>
          <w:rFonts w:ascii="DecimaWE Rg" w:hAnsi="DecimaWE Rg"/>
          <w:i/>
          <w:sz w:val="16"/>
          <w:szCs w:val="16"/>
        </w:rPr>
        <w:t>Fonte: SIMIA-CRM estrazione</w:t>
      </w:r>
      <w:r w:rsidR="007E2B55">
        <w:rPr>
          <w:rFonts w:ascii="DecimaWE Rg" w:hAnsi="DecimaWE Rg"/>
          <w:i/>
          <w:sz w:val="16"/>
          <w:szCs w:val="16"/>
        </w:rPr>
        <w:t xml:space="preserve"> dati al 04.03.2019.</w:t>
      </w:r>
    </w:p>
    <w:p w:rsidR="006512F3" w:rsidRDefault="006512F3" w:rsidP="005D28E6">
      <w:pPr>
        <w:spacing w:after="0" w:line="240" w:lineRule="auto"/>
        <w:jc w:val="both"/>
        <w:rPr>
          <w:rFonts w:ascii="DecimaWE Rg" w:hAnsi="DecimaWE Rg"/>
          <w:i/>
          <w:sz w:val="16"/>
          <w:szCs w:val="16"/>
        </w:rPr>
      </w:pPr>
    </w:p>
    <w:p w:rsidR="007E2B55" w:rsidRDefault="007E2B55" w:rsidP="005D28E6">
      <w:pPr>
        <w:spacing w:after="0" w:line="240" w:lineRule="auto"/>
        <w:jc w:val="both"/>
        <w:rPr>
          <w:rFonts w:ascii="DecimaWE Rg" w:hAnsi="DecimaWE Rg"/>
          <w:i/>
          <w:sz w:val="16"/>
          <w:szCs w:val="16"/>
        </w:rPr>
      </w:pPr>
    </w:p>
    <w:p w:rsidR="005D28E6" w:rsidRDefault="007E2B55" w:rsidP="007E2B55">
      <w:pPr>
        <w:spacing w:line="240" w:lineRule="auto"/>
        <w:jc w:val="both"/>
        <w:rPr>
          <w:rFonts w:ascii="DecimaWE Rg" w:hAnsi="DecimaWE Rg"/>
          <w:i/>
          <w:sz w:val="20"/>
          <w:szCs w:val="20"/>
        </w:rPr>
      </w:pPr>
      <w:r>
        <w:rPr>
          <w:rFonts w:ascii="DecimaWE Rg" w:hAnsi="DecimaWE Rg"/>
          <w:i/>
          <w:sz w:val="20"/>
          <w:szCs w:val="20"/>
        </w:rPr>
        <w:t xml:space="preserve">Graf. </w:t>
      </w:r>
      <w:r w:rsidR="002817CB">
        <w:rPr>
          <w:rFonts w:ascii="DecimaWE Rg" w:hAnsi="DecimaWE Rg"/>
          <w:i/>
          <w:sz w:val="20"/>
          <w:szCs w:val="20"/>
        </w:rPr>
        <w:t>4</w:t>
      </w:r>
      <w:r>
        <w:rPr>
          <w:rFonts w:ascii="DecimaWE Rg" w:hAnsi="DecimaWE Rg"/>
          <w:i/>
          <w:sz w:val="20"/>
          <w:szCs w:val="20"/>
        </w:rPr>
        <w:t xml:space="preserve"> – Percentuale di </w:t>
      </w:r>
      <w:r w:rsidR="00811630">
        <w:rPr>
          <w:rFonts w:ascii="DecimaWE Rg" w:hAnsi="DecimaWE Rg"/>
          <w:i/>
          <w:sz w:val="20"/>
          <w:szCs w:val="20"/>
        </w:rPr>
        <w:t>raggiungim</w:t>
      </w:r>
      <w:r>
        <w:rPr>
          <w:rFonts w:ascii="DecimaWE Rg" w:hAnsi="DecimaWE Rg"/>
          <w:i/>
          <w:sz w:val="20"/>
          <w:szCs w:val="20"/>
        </w:rPr>
        <w:t>ento degli obiettivi riferiti alle diverse aree obiettivo contenute nei progetti per i nuclei con verifiche a sistema.</w:t>
      </w:r>
    </w:p>
    <w:p w:rsidR="0003576E" w:rsidRDefault="0003576E" w:rsidP="007E2B55">
      <w:pPr>
        <w:spacing w:line="240" w:lineRule="auto"/>
        <w:jc w:val="both"/>
        <w:rPr>
          <w:rFonts w:ascii="DecimaWE Rg" w:hAnsi="DecimaWE Rg"/>
          <w:i/>
          <w:sz w:val="20"/>
          <w:szCs w:val="20"/>
        </w:rPr>
      </w:pPr>
      <w:r>
        <w:rPr>
          <w:rFonts w:ascii="DecimaWE Rg" w:hAnsi="DecimaWE Rg"/>
          <w:i/>
          <w:noProof/>
          <w:sz w:val="20"/>
          <w:szCs w:val="20"/>
          <w:lang w:eastAsia="it-IT"/>
        </w:rPr>
        <w:drawing>
          <wp:inline distT="0" distB="0" distL="0" distR="0" wp14:anchorId="0C36C679">
            <wp:extent cx="5068796" cy="227235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74509" cy="2274913"/>
                    </a:xfrm>
                    <a:prstGeom prst="rect">
                      <a:avLst/>
                    </a:prstGeom>
                    <a:noFill/>
                  </pic:spPr>
                </pic:pic>
              </a:graphicData>
            </a:graphic>
          </wp:inline>
        </w:drawing>
      </w:r>
    </w:p>
    <w:p w:rsidR="0003576E" w:rsidRPr="00BF235B" w:rsidRDefault="0003576E" w:rsidP="007E2B55">
      <w:pPr>
        <w:spacing w:line="240" w:lineRule="auto"/>
        <w:jc w:val="both"/>
        <w:rPr>
          <w:rFonts w:ascii="DecimaWE Rg" w:hAnsi="DecimaWE Rg"/>
          <w:sz w:val="24"/>
        </w:rPr>
      </w:pPr>
    </w:p>
    <w:p w:rsidR="00BF235B" w:rsidRDefault="00BF235B" w:rsidP="00723B00">
      <w:pPr>
        <w:spacing w:after="0" w:line="240" w:lineRule="auto"/>
        <w:jc w:val="both"/>
        <w:rPr>
          <w:rFonts w:ascii="DecimaWE Rg" w:hAnsi="DecimaWE Rg"/>
          <w:i/>
          <w:sz w:val="16"/>
          <w:szCs w:val="16"/>
        </w:rPr>
      </w:pPr>
    </w:p>
    <w:p w:rsidR="00BF235B" w:rsidRDefault="00BF235B" w:rsidP="00723B00">
      <w:pPr>
        <w:spacing w:after="0" w:line="240" w:lineRule="auto"/>
        <w:jc w:val="both"/>
        <w:rPr>
          <w:rFonts w:ascii="DecimaWE Rg" w:hAnsi="DecimaWE Rg"/>
          <w:i/>
          <w:sz w:val="16"/>
          <w:szCs w:val="16"/>
        </w:rPr>
      </w:pPr>
    </w:p>
    <w:p w:rsidR="00BF235B" w:rsidRDefault="00BF235B" w:rsidP="00723B00">
      <w:pPr>
        <w:spacing w:after="0" w:line="240" w:lineRule="auto"/>
        <w:jc w:val="both"/>
        <w:rPr>
          <w:rFonts w:ascii="DecimaWE Rg" w:hAnsi="DecimaWE Rg"/>
          <w:i/>
          <w:sz w:val="16"/>
          <w:szCs w:val="16"/>
        </w:rPr>
      </w:pPr>
    </w:p>
    <w:p w:rsidR="00BF235B" w:rsidRDefault="00BF235B" w:rsidP="00723B00">
      <w:pPr>
        <w:spacing w:after="0" w:line="240" w:lineRule="auto"/>
        <w:jc w:val="both"/>
        <w:rPr>
          <w:rFonts w:ascii="DecimaWE Rg" w:hAnsi="DecimaWE Rg"/>
          <w:i/>
          <w:sz w:val="16"/>
          <w:szCs w:val="16"/>
        </w:rPr>
      </w:pPr>
    </w:p>
    <w:p w:rsidR="00BF235B" w:rsidRDefault="00BF235B" w:rsidP="00723B00">
      <w:pPr>
        <w:spacing w:after="0" w:line="240" w:lineRule="auto"/>
        <w:jc w:val="both"/>
        <w:rPr>
          <w:rFonts w:ascii="DecimaWE Rg" w:hAnsi="DecimaWE Rg"/>
          <w:i/>
          <w:sz w:val="16"/>
          <w:szCs w:val="16"/>
        </w:rPr>
      </w:pPr>
    </w:p>
    <w:p w:rsidR="00BF235B" w:rsidRDefault="00BF235B" w:rsidP="00723B00">
      <w:pPr>
        <w:spacing w:after="0" w:line="240" w:lineRule="auto"/>
        <w:jc w:val="both"/>
        <w:rPr>
          <w:rFonts w:ascii="DecimaWE Rg" w:hAnsi="DecimaWE Rg"/>
          <w:i/>
          <w:sz w:val="16"/>
          <w:szCs w:val="16"/>
        </w:rPr>
      </w:pPr>
    </w:p>
    <w:p w:rsidR="00BF235B" w:rsidRDefault="00BF235B" w:rsidP="00723B00">
      <w:pPr>
        <w:spacing w:after="0" w:line="240" w:lineRule="auto"/>
        <w:jc w:val="both"/>
        <w:rPr>
          <w:rFonts w:ascii="DecimaWE Rg" w:hAnsi="DecimaWE Rg"/>
          <w:i/>
          <w:sz w:val="16"/>
          <w:szCs w:val="16"/>
        </w:rPr>
      </w:pPr>
    </w:p>
    <w:p w:rsidR="00BF235B" w:rsidRDefault="00BF235B" w:rsidP="00723B00">
      <w:pPr>
        <w:spacing w:after="0" w:line="240" w:lineRule="auto"/>
        <w:jc w:val="both"/>
        <w:rPr>
          <w:rFonts w:ascii="DecimaWE Rg" w:hAnsi="DecimaWE Rg"/>
          <w:i/>
          <w:sz w:val="16"/>
          <w:szCs w:val="16"/>
        </w:rPr>
      </w:pPr>
    </w:p>
    <w:p w:rsidR="00BF235B" w:rsidRDefault="00BF235B" w:rsidP="00723B00">
      <w:pPr>
        <w:spacing w:after="0" w:line="240" w:lineRule="auto"/>
        <w:jc w:val="both"/>
        <w:rPr>
          <w:rFonts w:ascii="DecimaWE Rg" w:hAnsi="DecimaWE Rg"/>
          <w:i/>
          <w:sz w:val="16"/>
          <w:szCs w:val="16"/>
        </w:rPr>
      </w:pPr>
    </w:p>
    <w:p w:rsidR="00BF235B" w:rsidRDefault="00BF235B" w:rsidP="00723B00">
      <w:pPr>
        <w:spacing w:after="0" w:line="240" w:lineRule="auto"/>
        <w:jc w:val="both"/>
        <w:rPr>
          <w:rFonts w:ascii="DecimaWE Rg" w:hAnsi="DecimaWE Rg"/>
          <w:i/>
          <w:sz w:val="16"/>
          <w:szCs w:val="16"/>
        </w:rPr>
      </w:pPr>
    </w:p>
    <w:p w:rsidR="00BF235B" w:rsidRDefault="00BF235B" w:rsidP="00723B00">
      <w:pPr>
        <w:spacing w:after="0" w:line="240" w:lineRule="auto"/>
        <w:jc w:val="both"/>
        <w:rPr>
          <w:rFonts w:ascii="DecimaWE Rg" w:hAnsi="DecimaWE Rg"/>
          <w:i/>
          <w:sz w:val="16"/>
          <w:szCs w:val="16"/>
        </w:rPr>
      </w:pPr>
    </w:p>
    <w:p w:rsidR="00BF235B" w:rsidRDefault="00BF235B" w:rsidP="00723B00">
      <w:pPr>
        <w:spacing w:after="0" w:line="240" w:lineRule="auto"/>
        <w:jc w:val="both"/>
        <w:rPr>
          <w:rFonts w:ascii="DecimaWE Rg" w:hAnsi="DecimaWE Rg"/>
          <w:i/>
          <w:sz w:val="16"/>
          <w:szCs w:val="16"/>
        </w:rPr>
      </w:pPr>
    </w:p>
    <w:p w:rsidR="00BF235B" w:rsidRDefault="00BF235B" w:rsidP="00723B00">
      <w:pPr>
        <w:spacing w:after="0" w:line="240" w:lineRule="auto"/>
        <w:jc w:val="both"/>
        <w:rPr>
          <w:rFonts w:ascii="DecimaWE Rg" w:hAnsi="DecimaWE Rg"/>
          <w:i/>
          <w:sz w:val="16"/>
          <w:szCs w:val="16"/>
        </w:rPr>
      </w:pPr>
    </w:p>
    <w:p w:rsidR="00BF235B" w:rsidRDefault="00BF235B" w:rsidP="00723B00">
      <w:pPr>
        <w:spacing w:after="0" w:line="240" w:lineRule="auto"/>
        <w:jc w:val="both"/>
        <w:rPr>
          <w:rFonts w:ascii="DecimaWE Rg" w:hAnsi="DecimaWE Rg"/>
          <w:i/>
          <w:sz w:val="16"/>
          <w:szCs w:val="16"/>
        </w:rPr>
      </w:pPr>
    </w:p>
    <w:p w:rsidR="00BF235B" w:rsidRDefault="00BF235B" w:rsidP="00723B00">
      <w:pPr>
        <w:spacing w:after="0" w:line="240" w:lineRule="auto"/>
        <w:jc w:val="both"/>
        <w:rPr>
          <w:rFonts w:ascii="DecimaWE Rg" w:hAnsi="DecimaWE Rg"/>
          <w:i/>
          <w:sz w:val="16"/>
          <w:szCs w:val="16"/>
        </w:rPr>
      </w:pPr>
    </w:p>
    <w:p w:rsidR="00BF235B" w:rsidRDefault="00BF235B" w:rsidP="00723B00">
      <w:pPr>
        <w:spacing w:after="0" w:line="240" w:lineRule="auto"/>
        <w:jc w:val="both"/>
        <w:rPr>
          <w:rFonts w:ascii="DecimaWE Rg" w:hAnsi="DecimaWE Rg"/>
          <w:i/>
          <w:sz w:val="16"/>
          <w:szCs w:val="16"/>
        </w:rPr>
      </w:pPr>
    </w:p>
    <w:p w:rsidR="00BF235B" w:rsidRDefault="00BF235B" w:rsidP="00723B00">
      <w:pPr>
        <w:spacing w:after="0" w:line="240" w:lineRule="auto"/>
        <w:jc w:val="both"/>
        <w:rPr>
          <w:rFonts w:ascii="DecimaWE Rg" w:hAnsi="DecimaWE Rg"/>
          <w:i/>
          <w:sz w:val="16"/>
          <w:szCs w:val="16"/>
        </w:rPr>
      </w:pPr>
    </w:p>
    <w:p w:rsidR="00BF235B" w:rsidRDefault="00BF235B" w:rsidP="00723B00">
      <w:pPr>
        <w:spacing w:after="0" w:line="240" w:lineRule="auto"/>
        <w:jc w:val="both"/>
        <w:rPr>
          <w:rFonts w:ascii="DecimaWE Rg" w:hAnsi="DecimaWE Rg"/>
          <w:i/>
          <w:sz w:val="16"/>
          <w:szCs w:val="16"/>
        </w:rPr>
      </w:pPr>
    </w:p>
    <w:sectPr w:rsidR="00BF235B">
      <w:headerReference w:type="default" r:id="rId26"/>
      <w:footerReference w:type="default" r:id="rId2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41" w:rsidRDefault="000A6441" w:rsidP="008664B5">
      <w:pPr>
        <w:spacing w:after="0" w:line="240" w:lineRule="auto"/>
      </w:pPr>
      <w:r>
        <w:separator/>
      </w:r>
    </w:p>
  </w:endnote>
  <w:endnote w:type="continuationSeparator" w:id="0">
    <w:p w:rsidR="000A6441" w:rsidRDefault="000A6441" w:rsidP="00866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panose1 w:val="02000000000000000000"/>
    <w:charset w:val="00"/>
    <w:family w:val="auto"/>
    <w:pitch w:val="variable"/>
    <w:sig w:usb0="800000AF" w:usb1="5000205B" w:usb2="00000000" w:usb3="00000000" w:csb0="0000009B" w:csb1="00000000"/>
  </w:font>
  <w:font w:name="DecimaW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564657"/>
      <w:docPartObj>
        <w:docPartGallery w:val="Page Numbers (Bottom of Page)"/>
        <w:docPartUnique/>
      </w:docPartObj>
    </w:sdtPr>
    <w:sdtEndPr/>
    <w:sdtContent>
      <w:p w:rsidR="00892FAA" w:rsidRDefault="00892FAA">
        <w:pPr>
          <w:pStyle w:val="Pidipagina"/>
          <w:jc w:val="right"/>
        </w:pPr>
        <w:r>
          <w:fldChar w:fldCharType="begin"/>
        </w:r>
        <w:r>
          <w:instrText>PAGE   \* MERGEFORMAT</w:instrText>
        </w:r>
        <w:r>
          <w:fldChar w:fldCharType="separate"/>
        </w:r>
        <w:r w:rsidR="006356F2">
          <w:rPr>
            <w:noProof/>
          </w:rPr>
          <w:t>2</w:t>
        </w:r>
        <w:r>
          <w:fldChar w:fldCharType="end"/>
        </w:r>
      </w:p>
    </w:sdtContent>
  </w:sdt>
  <w:p w:rsidR="00892FAA" w:rsidRDefault="00892FA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41" w:rsidRDefault="000A6441" w:rsidP="008664B5">
      <w:pPr>
        <w:spacing w:after="0" w:line="240" w:lineRule="auto"/>
      </w:pPr>
      <w:r>
        <w:separator/>
      </w:r>
    </w:p>
  </w:footnote>
  <w:footnote w:type="continuationSeparator" w:id="0">
    <w:p w:rsidR="000A6441" w:rsidRDefault="000A6441" w:rsidP="008664B5">
      <w:pPr>
        <w:spacing w:after="0" w:line="240" w:lineRule="auto"/>
      </w:pPr>
      <w:r>
        <w:continuationSeparator/>
      </w:r>
    </w:p>
  </w:footnote>
  <w:footnote w:id="1">
    <w:p w:rsidR="00613865" w:rsidRPr="007E2B55" w:rsidRDefault="00613865" w:rsidP="00613865">
      <w:pPr>
        <w:pStyle w:val="Testonotaapidipagina"/>
        <w:rPr>
          <w:rFonts w:ascii="DecimaWE Rg" w:hAnsi="DecimaWE Rg"/>
          <w:sz w:val="18"/>
          <w:szCs w:val="18"/>
        </w:rPr>
      </w:pPr>
      <w:r w:rsidRPr="007E2B55">
        <w:rPr>
          <w:rStyle w:val="Rimandonotaapidipagina"/>
          <w:rFonts w:ascii="DecimaWE Rg" w:hAnsi="DecimaWE Rg"/>
          <w:sz w:val="18"/>
          <w:szCs w:val="18"/>
        </w:rPr>
        <w:footnoteRef/>
      </w:r>
      <w:r w:rsidRPr="007E2B55">
        <w:rPr>
          <w:rFonts w:ascii="DecimaWE Rg" w:hAnsi="DecimaWE Rg"/>
          <w:sz w:val="18"/>
          <w:szCs w:val="18"/>
        </w:rPr>
        <w:t xml:space="preserve"> Estrazione dati dal gestionale SIMIA al 15/2/2019 </w:t>
      </w:r>
    </w:p>
  </w:footnote>
  <w:footnote w:id="2">
    <w:p w:rsidR="00DA1B9E" w:rsidRPr="00DA1B9E" w:rsidRDefault="00DA1B9E" w:rsidP="00DA1B9E">
      <w:pPr>
        <w:pStyle w:val="Testonotaapidipagina"/>
        <w:jc w:val="both"/>
        <w:rPr>
          <w:rFonts w:ascii="DecimaWE Rg" w:hAnsi="DecimaWE Rg"/>
          <w:sz w:val="18"/>
          <w:szCs w:val="18"/>
        </w:rPr>
      </w:pPr>
      <w:r w:rsidRPr="007E2B55">
        <w:rPr>
          <w:rStyle w:val="Rimandonotaapidipagina"/>
          <w:rFonts w:ascii="DecimaWE Rg" w:hAnsi="DecimaWE Rg"/>
          <w:sz w:val="18"/>
          <w:szCs w:val="18"/>
        </w:rPr>
        <w:footnoteRef/>
      </w:r>
      <w:r w:rsidRPr="007E2B55">
        <w:rPr>
          <w:rFonts w:ascii="DecimaWE Rg" w:hAnsi="DecimaWE Rg"/>
          <w:sz w:val="18"/>
          <w:szCs w:val="18"/>
        </w:rPr>
        <w:t xml:space="preserve"> </w:t>
      </w:r>
      <w:r w:rsidR="007E2B55">
        <w:rPr>
          <w:rFonts w:ascii="DecimaWE Rg" w:hAnsi="DecimaWE Rg"/>
          <w:sz w:val="18"/>
          <w:szCs w:val="18"/>
        </w:rPr>
        <w:t>Per nuclei beneficiari si intendono i nu</w:t>
      </w:r>
      <w:r w:rsidRPr="007E2B55">
        <w:rPr>
          <w:rFonts w:ascii="DecimaWE Rg" w:hAnsi="DecimaWE Rg"/>
          <w:sz w:val="18"/>
          <w:szCs w:val="18"/>
        </w:rPr>
        <w:t>clei con almeno un’erogazione economica percepita e con una o più domande (nuove e rinnovi) di MIA e/o domanda congiunta di MIA e SIA, presentate nel periodo di sperimentazione della misura ovvero dal 22/10/2015 al 22/10/2018.</w:t>
      </w:r>
    </w:p>
  </w:footnote>
  <w:footnote w:id="3">
    <w:p w:rsidR="00033953" w:rsidRPr="004C2DBA" w:rsidRDefault="00033953" w:rsidP="00033953">
      <w:pPr>
        <w:pStyle w:val="Testonotaapidipagina"/>
        <w:rPr>
          <w:rFonts w:ascii="DecimaWE Rg" w:hAnsi="DecimaWE Rg"/>
          <w:sz w:val="16"/>
          <w:szCs w:val="16"/>
        </w:rPr>
      </w:pPr>
      <w:r w:rsidRPr="004C2DBA">
        <w:rPr>
          <w:rStyle w:val="Rimandonotaapidipagina"/>
          <w:rFonts w:ascii="DecimaWE Rg" w:hAnsi="DecimaWE Rg"/>
          <w:sz w:val="16"/>
          <w:szCs w:val="16"/>
        </w:rPr>
        <w:footnoteRef/>
      </w:r>
      <w:r w:rsidRPr="004C2DBA">
        <w:rPr>
          <w:rFonts w:ascii="DecimaWE Rg" w:hAnsi="DecimaWE Rg"/>
          <w:sz w:val="16"/>
          <w:szCs w:val="16"/>
        </w:rPr>
        <w:t xml:space="preserve"> </w:t>
      </w:r>
      <w:r>
        <w:rPr>
          <w:rFonts w:ascii="DecimaWE Rg" w:hAnsi="DecimaWE Rg"/>
          <w:sz w:val="16"/>
          <w:szCs w:val="16"/>
        </w:rPr>
        <w:t>Cosi come d</w:t>
      </w:r>
      <w:r w:rsidRPr="004C2DBA">
        <w:rPr>
          <w:rFonts w:ascii="DecimaWE Rg" w:hAnsi="DecimaWE Rg"/>
          <w:sz w:val="16"/>
          <w:szCs w:val="16"/>
        </w:rPr>
        <w:t>ichiarata in DSU</w:t>
      </w:r>
      <w:r>
        <w:rPr>
          <w:rFonts w:ascii="DecimaWE Rg" w:hAnsi="DecimaWE Rg"/>
          <w:sz w:val="16"/>
          <w:szCs w:val="16"/>
        </w:rPr>
        <w:t>.</w:t>
      </w:r>
    </w:p>
  </w:footnote>
  <w:footnote w:id="4">
    <w:p w:rsidR="006C6AE6" w:rsidRPr="002817CB" w:rsidRDefault="006C6AE6">
      <w:pPr>
        <w:pStyle w:val="Testonotaapidipagina"/>
        <w:rPr>
          <w:rFonts w:ascii="DecimaWE Rg" w:hAnsi="DecimaWE Rg"/>
          <w:sz w:val="18"/>
          <w:szCs w:val="18"/>
        </w:rPr>
      </w:pPr>
      <w:r w:rsidRPr="002817CB">
        <w:rPr>
          <w:rStyle w:val="Rimandonotaapidipagina"/>
          <w:rFonts w:ascii="DecimaWE Rg" w:hAnsi="DecimaWE Rg"/>
          <w:sz w:val="18"/>
          <w:szCs w:val="18"/>
        </w:rPr>
        <w:footnoteRef/>
      </w:r>
      <w:r w:rsidR="00965019" w:rsidRPr="002817CB">
        <w:rPr>
          <w:rFonts w:ascii="DecimaWE Rg" w:hAnsi="DecimaWE Rg"/>
          <w:sz w:val="18"/>
          <w:szCs w:val="18"/>
        </w:rPr>
        <w:t xml:space="preserve"> Da DSU - Dichiarazione sostitutiva unica ai fini ISEE - </w:t>
      </w:r>
      <w:r w:rsidRPr="002817CB">
        <w:rPr>
          <w:rFonts w:ascii="DecimaWE Rg" w:hAnsi="DecimaWE Rg"/>
          <w:sz w:val="18"/>
          <w:szCs w:val="18"/>
        </w:rPr>
        <w:t xml:space="preserve">al primo accesso alla misura. </w:t>
      </w:r>
    </w:p>
  </w:footnote>
  <w:footnote w:id="5">
    <w:p w:rsidR="00A93475" w:rsidRPr="00A93475" w:rsidRDefault="00A93475">
      <w:pPr>
        <w:pStyle w:val="Testonotaapidipagina"/>
        <w:rPr>
          <w:rFonts w:ascii="DecimaWE Rg" w:hAnsi="DecimaWE Rg"/>
          <w:sz w:val="18"/>
          <w:szCs w:val="18"/>
        </w:rPr>
      </w:pPr>
      <w:r w:rsidRPr="00A93475">
        <w:rPr>
          <w:rStyle w:val="Rimandonotaapidipagina"/>
          <w:rFonts w:ascii="DecimaWE Rg" w:hAnsi="DecimaWE Rg"/>
          <w:sz w:val="18"/>
          <w:szCs w:val="18"/>
        </w:rPr>
        <w:footnoteRef/>
      </w:r>
      <w:r w:rsidRPr="00A93475">
        <w:rPr>
          <w:rFonts w:ascii="DecimaWE Rg" w:hAnsi="DecimaWE Rg"/>
          <w:sz w:val="18"/>
          <w:szCs w:val="18"/>
        </w:rPr>
        <w:t xml:space="preserve"> Fonte</w:t>
      </w:r>
      <w:r w:rsidR="00965019">
        <w:rPr>
          <w:rFonts w:ascii="DecimaWE Rg" w:hAnsi="DecimaWE Rg"/>
          <w:sz w:val="18"/>
          <w:szCs w:val="18"/>
        </w:rPr>
        <w:t>:</w:t>
      </w:r>
      <w:r w:rsidRPr="00A93475">
        <w:rPr>
          <w:rFonts w:ascii="DecimaWE Rg" w:hAnsi="DecimaWE Rg"/>
          <w:sz w:val="18"/>
          <w:szCs w:val="18"/>
        </w:rPr>
        <w:t xml:space="preserve"> gestionale SIMIA CRM al 04.03.2019.</w:t>
      </w:r>
    </w:p>
  </w:footnote>
  <w:footnote w:id="6">
    <w:p w:rsidR="00C44B06" w:rsidRDefault="00C44B06" w:rsidP="00C44B06">
      <w:pPr>
        <w:pStyle w:val="Testonotaapidipagina"/>
        <w:jc w:val="both"/>
        <w:rPr>
          <w:rFonts w:ascii="DecimaWE Rg" w:hAnsi="DecimaWE Rg"/>
          <w:sz w:val="16"/>
          <w:szCs w:val="16"/>
        </w:rPr>
      </w:pPr>
      <w:r>
        <w:rPr>
          <w:rStyle w:val="Rimandonotaapidipagina"/>
          <w:rFonts w:ascii="DecimaWE Rg" w:hAnsi="DecimaWE Rg"/>
          <w:sz w:val="16"/>
          <w:szCs w:val="16"/>
        </w:rPr>
        <w:footnoteRef/>
      </w:r>
      <w:r>
        <w:rPr>
          <w:rFonts w:ascii="DecimaWE Rg" w:hAnsi="DecimaWE Rg"/>
          <w:sz w:val="16"/>
          <w:szCs w:val="16"/>
        </w:rPr>
        <w:t>Così come dichiarata all’interno della DSU-Dichiarazione sostitutiva unica ai fini ISEE. Tale dato può pertanto risultare difforme dalla reale condizione nel periodo di fruizione del beneficio.</w:t>
      </w:r>
    </w:p>
  </w:footnote>
  <w:footnote w:id="7">
    <w:p w:rsidR="00E14E00" w:rsidRDefault="00E14E00" w:rsidP="00E14E00">
      <w:pPr>
        <w:pStyle w:val="Testonotaapidipagina"/>
        <w:jc w:val="both"/>
        <w:rPr>
          <w:rFonts w:ascii="DecimaWE Rg" w:hAnsi="DecimaWE Rg"/>
          <w:sz w:val="16"/>
          <w:szCs w:val="16"/>
        </w:rPr>
      </w:pPr>
      <w:r>
        <w:rPr>
          <w:rStyle w:val="Rimandonotaapidipagina"/>
          <w:rFonts w:ascii="DecimaWE Rg" w:hAnsi="DecimaWE Rg"/>
          <w:sz w:val="16"/>
          <w:szCs w:val="16"/>
        </w:rPr>
        <w:footnoteRef/>
      </w:r>
      <w:r>
        <w:rPr>
          <w:rFonts w:ascii="DecimaWE Rg" w:hAnsi="DecimaWE Rg"/>
          <w:sz w:val="16"/>
          <w:szCs w:val="16"/>
        </w:rPr>
        <w:t>Così come dichiarata all’interno della DSU-Dichiarazione sostitutiva unica ai fini ISEE. Tale dato può pertanto risultare difforme dalla reale condizione nel periodo di fruizione del beneficio.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D1" w:rsidRDefault="006D44D1">
    <w:pPr>
      <w:pStyle w:val="Intestazione"/>
      <w:rPr>
        <w:rFonts w:ascii="DecimaWE" w:hAnsi="DecimaWE"/>
        <w:sz w:val="16"/>
      </w:rPr>
    </w:pPr>
  </w:p>
  <w:p w:rsidR="00F950A3" w:rsidRPr="006D44D1" w:rsidRDefault="00F950A3">
    <w:pPr>
      <w:pStyle w:val="Intestazione"/>
      <w:rPr>
        <w:rFonts w:ascii="DecimaWE" w:hAnsi="DecimaWE"/>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F2"/>
    <w:rsid w:val="00033953"/>
    <w:rsid w:val="0003576E"/>
    <w:rsid w:val="0007191D"/>
    <w:rsid w:val="000A6441"/>
    <w:rsid w:val="000B0615"/>
    <w:rsid w:val="000F3AF8"/>
    <w:rsid w:val="00102868"/>
    <w:rsid w:val="001144CE"/>
    <w:rsid w:val="00177282"/>
    <w:rsid w:val="00186995"/>
    <w:rsid w:val="00196284"/>
    <w:rsid w:val="001A30B0"/>
    <w:rsid w:val="001F2344"/>
    <w:rsid w:val="00216C21"/>
    <w:rsid w:val="00223125"/>
    <w:rsid w:val="00225FB7"/>
    <w:rsid w:val="00234EB9"/>
    <w:rsid w:val="0024484F"/>
    <w:rsid w:val="002817CB"/>
    <w:rsid w:val="00287A2C"/>
    <w:rsid w:val="00291810"/>
    <w:rsid w:val="002F79F2"/>
    <w:rsid w:val="00306514"/>
    <w:rsid w:val="00353CE5"/>
    <w:rsid w:val="00357563"/>
    <w:rsid w:val="003611D3"/>
    <w:rsid w:val="00376257"/>
    <w:rsid w:val="003F6BB5"/>
    <w:rsid w:val="0043773D"/>
    <w:rsid w:val="00453B02"/>
    <w:rsid w:val="004C2DBA"/>
    <w:rsid w:val="004F4379"/>
    <w:rsid w:val="005065D1"/>
    <w:rsid w:val="00506BEB"/>
    <w:rsid w:val="00551F55"/>
    <w:rsid w:val="005625D7"/>
    <w:rsid w:val="00566941"/>
    <w:rsid w:val="005827D2"/>
    <w:rsid w:val="00595C31"/>
    <w:rsid w:val="005A38E6"/>
    <w:rsid w:val="005A42C9"/>
    <w:rsid w:val="005B7A0B"/>
    <w:rsid w:val="005D28E6"/>
    <w:rsid w:val="005D6559"/>
    <w:rsid w:val="005D67F5"/>
    <w:rsid w:val="005F1F84"/>
    <w:rsid w:val="005F7B31"/>
    <w:rsid w:val="00603D67"/>
    <w:rsid w:val="00613865"/>
    <w:rsid w:val="00632693"/>
    <w:rsid w:val="006356F2"/>
    <w:rsid w:val="006435C8"/>
    <w:rsid w:val="006512F3"/>
    <w:rsid w:val="006547B7"/>
    <w:rsid w:val="00656B1C"/>
    <w:rsid w:val="00674E5D"/>
    <w:rsid w:val="00695E51"/>
    <w:rsid w:val="006C5A5B"/>
    <w:rsid w:val="006C6AE6"/>
    <w:rsid w:val="006D44D1"/>
    <w:rsid w:val="006D5E96"/>
    <w:rsid w:val="006D7CE9"/>
    <w:rsid w:val="006E7ECF"/>
    <w:rsid w:val="00711A95"/>
    <w:rsid w:val="007225F1"/>
    <w:rsid w:val="00723B00"/>
    <w:rsid w:val="0077373B"/>
    <w:rsid w:val="00777B17"/>
    <w:rsid w:val="007A5B32"/>
    <w:rsid w:val="007C5AEC"/>
    <w:rsid w:val="007E2B55"/>
    <w:rsid w:val="007F2E59"/>
    <w:rsid w:val="00804EE5"/>
    <w:rsid w:val="00811630"/>
    <w:rsid w:val="008160AA"/>
    <w:rsid w:val="0083761E"/>
    <w:rsid w:val="00845EA1"/>
    <w:rsid w:val="008627C8"/>
    <w:rsid w:val="008664B5"/>
    <w:rsid w:val="008703E6"/>
    <w:rsid w:val="00892FAA"/>
    <w:rsid w:val="00895F2D"/>
    <w:rsid w:val="008A4871"/>
    <w:rsid w:val="008B7EE0"/>
    <w:rsid w:val="008C2DA7"/>
    <w:rsid w:val="008E1380"/>
    <w:rsid w:val="008E78EC"/>
    <w:rsid w:val="00911354"/>
    <w:rsid w:val="009136DD"/>
    <w:rsid w:val="00914959"/>
    <w:rsid w:val="00943DEC"/>
    <w:rsid w:val="00965019"/>
    <w:rsid w:val="009825A2"/>
    <w:rsid w:val="009A42BC"/>
    <w:rsid w:val="009B10AE"/>
    <w:rsid w:val="009D6A34"/>
    <w:rsid w:val="009E7258"/>
    <w:rsid w:val="00A02039"/>
    <w:rsid w:val="00A209F4"/>
    <w:rsid w:val="00A21EF6"/>
    <w:rsid w:val="00A375E1"/>
    <w:rsid w:val="00A472BB"/>
    <w:rsid w:val="00A5186C"/>
    <w:rsid w:val="00A5437B"/>
    <w:rsid w:val="00A854E7"/>
    <w:rsid w:val="00A8571C"/>
    <w:rsid w:val="00A93475"/>
    <w:rsid w:val="00AB684C"/>
    <w:rsid w:val="00AD2F08"/>
    <w:rsid w:val="00B07E25"/>
    <w:rsid w:val="00B21170"/>
    <w:rsid w:val="00B56D65"/>
    <w:rsid w:val="00B86E7D"/>
    <w:rsid w:val="00B93D61"/>
    <w:rsid w:val="00B957AB"/>
    <w:rsid w:val="00BB7592"/>
    <w:rsid w:val="00BC4B1A"/>
    <w:rsid w:val="00BE1178"/>
    <w:rsid w:val="00BF235B"/>
    <w:rsid w:val="00C23623"/>
    <w:rsid w:val="00C37DD1"/>
    <w:rsid w:val="00C44B06"/>
    <w:rsid w:val="00C51E0D"/>
    <w:rsid w:val="00C70090"/>
    <w:rsid w:val="00C9189B"/>
    <w:rsid w:val="00C9197C"/>
    <w:rsid w:val="00CB1FCD"/>
    <w:rsid w:val="00CB377B"/>
    <w:rsid w:val="00D3148A"/>
    <w:rsid w:val="00D4296D"/>
    <w:rsid w:val="00D47ACC"/>
    <w:rsid w:val="00D50DD8"/>
    <w:rsid w:val="00D567E2"/>
    <w:rsid w:val="00D83375"/>
    <w:rsid w:val="00D925A9"/>
    <w:rsid w:val="00D970B0"/>
    <w:rsid w:val="00DA1B9E"/>
    <w:rsid w:val="00DB3570"/>
    <w:rsid w:val="00DD7623"/>
    <w:rsid w:val="00DE152C"/>
    <w:rsid w:val="00DE24CF"/>
    <w:rsid w:val="00DE4CBB"/>
    <w:rsid w:val="00DE7736"/>
    <w:rsid w:val="00E06FB2"/>
    <w:rsid w:val="00E14E00"/>
    <w:rsid w:val="00E252D6"/>
    <w:rsid w:val="00E764B0"/>
    <w:rsid w:val="00E77A47"/>
    <w:rsid w:val="00E92A88"/>
    <w:rsid w:val="00EB06F0"/>
    <w:rsid w:val="00EE0A84"/>
    <w:rsid w:val="00EE33CA"/>
    <w:rsid w:val="00F12753"/>
    <w:rsid w:val="00F25510"/>
    <w:rsid w:val="00F30F3C"/>
    <w:rsid w:val="00F72113"/>
    <w:rsid w:val="00F950A3"/>
    <w:rsid w:val="00FB01AE"/>
    <w:rsid w:val="00FC42D7"/>
    <w:rsid w:val="00FD5693"/>
    <w:rsid w:val="00FE41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3D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34E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4EB9"/>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8664B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664B5"/>
    <w:rPr>
      <w:sz w:val="20"/>
      <w:szCs w:val="20"/>
    </w:rPr>
  </w:style>
  <w:style w:type="character" w:styleId="Rimandonotaapidipagina">
    <w:name w:val="footnote reference"/>
    <w:basedOn w:val="Carpredefinitoparagrafo"/>
    <w:uiPriority w:val="99"/>
    <w:semiHidden/>
    <w:unhideWhenUsed/>
    <w:rsid w:val="008664B5"/>
    <w:rPr>
      <w:vertAlign w:val="superscript"/>
    </w:rPr>
  </w:style>
  <w:style w:type="paragraph" w:styleId="Intestazione">
    <w:name w:val="header"/>
    <w:basedOn w:val="Normale"/>
    <w:link w:val="IntestazioneCarattere"/>
    <w:uiPriority w:val="99"/>
    <w:unhideWhenUsed/>
    <w:rsid w:val="00892F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2FAA"/>
  </w:style>
  <w:style w:type="paragraph" w:styleId="Pidipagina">
    <w:name w:val="footer"/>
    <w:basedOn w:val="Normale"/>
    <w:link w:val="PidipaginaCarattere"/>
    <w:uiPriority w:val="99"/>
    <w:unhideWhenUsed/>
    <w:rsid w:val="00892F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2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3D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34E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4EB9"/>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8664B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664B5"/>
    <w:rPr>
      <w:sz w:val="20"/>
      <w:szCs w:val="20"/>
    </w:rPr>
  </w:style>
  <w:style w:type="character" w:styleId="Rimandonotaapidipagina">
    <w:name w:val="footnote reference"/>
    <w:basedOn w:val="Carpredefinitoparagrafo"/>
    <w:uiPriority w:val="99"/>
    <w:semiHidden/>
    <w:unhideWhenUsed/>
    <w:rsid w:val="008664B5"/>
    <w:rPr>
      <w:vertAlign w:val="superscript"/>
    </w:rPr>
  </w:style>
  <w:style w:type="paragraph" w:styleId="Intestazione">
    <w:name w:val="header"/>
    <w:basedOn w:val="Normale"/>
    <w:link w:val="IntestazioneCarattere"/>
    <w:uiPriority w:val="99"/>
    <w:unhideWhenUsed/>
    <w:rsid w:val="00892F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2FAA"/>
  </w:style>
  <w:style w:type="paragraph" w:styleId="Pidipagina">
    <w:name w:val="footer"/>
    <w:basedOn w:val="Normale"/>
    <w:link w:val="PidipaginaCarattere"/>
    <w:uiPriority w:val="99"/>
    <w:unhideWhenUsed/>
    <w:rsid w:val="00892F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2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68998">
      <w:bodyDiv w:val="1"/>
      <w:marLeft w:val="0"/>
      <w:marRight w:val="0"/>
      <w:marTop w:val="0"/>
      <w:marBottom w:val="0"/>
      <w:divBdr>
        <w:top w:val="none" w:sz="0" w:space="0" w:color="auto"/>
        <w:left w:val="none" w:sz="0" w:space="0" w:color="auto"/>
        <w:bottom w:val="none" w:sz="0" w:space="0" w:color="auto"/>
        <w:right w:val="none" w:sz="0" w:space="0" w:color="auto"/>
      </w:divBdr>
    </w:div>
    <w:div w:id="783310457">
      <w:bodyDiv w:val="1"/>
      <w:marLeft w:val="0"/>
      <w:marRight w:val="0"/>
      <w:marTop w:val="0"/>
      <w:marBottom w:val="0"/>
      <w:divBdr>
        <w:top w:val="none" w:sz="0" w:space="0" w:color="auto"/>
        <w:left w:val="none" w:sz="0" w:space="0" w:color="auto"/>
        <w:bottom w:val="none" w:sz="0" w:space="0" w:color="auto"/>
        <w:right w:val="none" w:sz="0" w:space="0" w:color="auto"/>
      </w:divBdr>
    </w:div>
    <w:div w:id="929002994">
      <w:bodyDiv w:val="1"/>
      <w:marLeft w:val="0"/>
      <w:marRight w:val="0"/>
      <w:marTop w:val="0"/>
      <w:marBottom w:val="0"/>
      <w:divBdr>
        <w:top w:val="none" w:sz="0" w:space="0" w:color="auto"/>
        <w:left w:val="none" w:sz="0" w:space="0" w:color="auto"/>
        <w:bottom w:val="none" w:sz="0" w:space="0" w:color="auto"/>
        <w:right w:val="none" w:sz="0" w:space="0" w:color="auto"/>
      </w:divBdr>
    </w:div>
    <w:div w:id="957105742">
      <w:bodyDiv w:val="1"/>
      <w:marLeft w:val="0"/>
      <w:marRight w:val="0"/>
      <w:marTop w:val="0"/>
      <w:marBottom w:val="0"/>
      <w:divBdr>
        <w:top w:val="none" w:sz="0" w:space="0" w:color="auto"/>
        <w:left w:val="none" w:sz="0" w:space="0" w:color="auto"/>
        <w:bottom w:val="none" w:sz="0" w:space="0" w:color="auto"/>
        <w:right w:val="none" w:sz="0" w:space="0" w:color="auto"/>
      </w:divBdr>
    </w:div>
    <w:div w:id="992372041">
      <w:bodyDiv w:val="1"/>
      <w:marLeft w:val="0"/>
      <w:marRight w:val="0"/>
      <w:marTop w:val="0"/>
      <w:marBottom w:val="0"/>
      <w:divBdr>
        <w:top w:val="none" w:sz="0" w:space="0" w:color="auto"/>
        <w:left w:val="none" w:sz="0" w:space="0" w:color="auto"/>
        <w:bottom w:val="none" w:sz="0" w:space="0" w:color="auto"/>
        <w:right w:val="none" w:sz="0" w:space="0" w:color="auto"/>
      </w:divBdr>
    </w:div>
    <w:div w:id="1052927574">
      <w:bodyDiv w:val="1"/>
      <w:marLeft w:val="0"/>
      <w:marRight w:val="0"/>
      <w:marTop w:val="0"/>
      <w:marBottom w:val="0"/>
      <w:divBdr>
        <w:top w:val="none" w:sz="0" w:space="0" w:color="auto"/>
        <w:left w:val="none" w:sz="0" w:space="0" w:color="auto"/>
        <w:bottom w:val="none" w:sz="0" w:space="0" w:color="auto"/>
        <w:right w:val="none" w:sz="0" w:space="0" w:color="auto"/>
      </w:divBdr>
    </w:div>
    <w:div w:id="1170412134">
      <w:bodyDiv w:val="1"/>
      <w:marLeft w:val="0"/>
      <w:marRight w:val="0"/>
      <w:marTop w:val="0"/>
      <w:marBottom w:val="0"/>
      <w:divBdr>
        <w:top w:val="none" w:sz="0" w:space="0" w:color="auto"/>
        <w:left w:val="none" w:sz="0" w:space="0" w:color="auto"/>
        <w:bottom w:val="none" w:sz="0" w:space="0" w:color="auto"/>
        <w:right w:val="none" w:sz="0" w:space="0" w:color="auto"/>
      </w:divBdr>
    </w:div>
    <w:div w:id="1176110257">
      <w:bodyDiv w:val="1"/>
      <w:marLeft w:val="0"/>
      <w:marRight w:val="0"/>
      <w:marTop w:val="0"/>
      <w:marBottom w:val="0"/>
      <w:divBdr>
        <w:top w:val="none" w:sz="0" w:space="0" w:color="auto"/>
        <w:left w:val="none" w:sz="0" w:space="0" w:color="auto"/>
        <w:bottom w:val="none" w:sz="0" w:space="0" w:color="auto"/>
        <w:right w:val="none" w:sz="0" w:space="0" w:color="auto"/>
      </w:divBdr>
    </w:div>
    <w:div w:id="1185945724">
      <w:bodyDiv w:val="1"/>
      <w:marLeft w:val="0"/>
      <w:marRight w:val="0"/>
      <w:marTop w:val="0"/>
      <w:marBottom w:val="0"/>
      <w:divBdr>
        <w:top w:val="none" w:sz="0" w:space="0" w:color="auto"/>
        <w:left w:val="none" w:sz="0" w:space="0" w:color="auto"/>
        <w:bottom w:val="none" w:sz="0" w:space="0" w:color="auto"/>
        <w:right w:val="none" w:sz="0" w:space="0" w:color="auto"/>
      </w:divBdr>
    </w:div>
    <w:div w:id="1366760013">
      <w:bodyDiv w:val="1"/>
      <w:marLeft w:val="0"/>
      <w:marRight w:val="0"/>
      <w:marTop w:val="0"/>
      <w:marBottom w:val="0"/>
      <w:divBdr>
        <w:top w:val="none" w:sz="0" w:space="0" w:color="auto"/>
        <w:left w:val="none" w:sz="0" w:space="0" w:color="auto"/>
        <w:bottom w:val="none" w:sz="0" w:space="0" w:color="auto"/>
        <w:right w:val="none" w:sz="0" w:space="0" w:color="auto"/>
      </w:divBdr>
    </w:div>
    <w:div w:id="1546481682">
      <w:bodyDiv w:val="1"/>
      <w:marLeft w:val="0"/>
      <w:marRight w:val="0"/>
      <w:marTop w:val="0"/>
      <w:marBottom w:val="0"/>
      <w:divBdr>
        <w:top w:val="none" w:sz="0" w:space="0" w:color="auto"/>
        <w:left w:val="none" w:sz="0" w:space="0" w:color="auto"/>
        <w:bottom w:val="none" w:sz="0" w:space="0" w:color="auto"/>
        <w:right w:val="none" w:sz="0" w:space="0" w:color="auto"/>
      </w:divBdr>
    </w:div>
    <w:div w:id="1629553983">
      <w:bodyDiv w:val="1"/>
      <w:marLeft w:val="0"/>
      <w:marRight w:val="0"/>
      <w:marTop w:val="0"/>
      <w:marBottom w:val="0"/>
      <w:divBdr>
        <w:top w:val="none" w:sz="0" w:space="0" w:color="auto"/>
        <w:left w:val="none" w:sz="0" w:space="0" w:color="auto"/>
        <w:bottom w:val="none" w:sz="0" w:space="0" w:color="auto"/>
        <w:right w:val="none" w:sz="0" w:space="0" w:color="auto"/>
      </w:divBdr>
    </w:div>
    <w:div w:id="1668167045">
      <w:bodyDiv w:val="1"/>
      <w:marLeft w:val="0"/>
      <w:marRight w:val="0"/>
      <w:marTop w:val="0"/>
      <w:marBottom w:val="0"/>
      <w:divBdr>
        <w:top w:val="none" w:sz="0" w:space="0" w:color="auto"/>
        <w:left w:val="none" w:sz="0" w:space="0" w:color="auto"/>
        <w:bottom w:val="none" w:sz="0" w:space="0" w:color="auto"/>
        <w:right w:val="none" w:sz="0" w:space="0" w:color="auto"/>
      </w:divBdr>
    </w:div>
    <w:div w:id="1856188603">
      <w:bodyDiv w:val="1"/>
      <w:marLeft w:val="0"/>
      <w:marRight w:val="0"/>
      <w:marTop w:val="0"/>
      <w:marBottom w:val="0"/>
      <w:divBdr>
        <w:top w:val="none" w:sz="0" w:space="0" w:color="auto"/>
        <w:left w:val="none" w:sz="0" w:space="0" w:color="auto"/>
        <w:bottom w:val="none" w:sz="0" w:space="0" w:color="auto"/>
        <w:right w:val="none" w:sz="0" w:space="0" w:color="auto"/>
      </w:divBdr>
    </w:div>
    <w:div w:id="1894808511">
      <w:bodyDiv w:val="1"/>
      <w:marLeft w:val="0"/>
      <w:marRight w:val="0"/>
      <w:marTop w:val="0"/>
      <w:marBottom w:val="0"/>
      <w:divBdr>
        <w:top w:val="none" w:sz="0" w:space="0" w:color="auto"/>
        <w:left w:val="none" w:sz="0" w:space="0" w:color="auto"/>
        <w:bottom w:val="none" w:sz="0" w:space="0" w:color="auto"/>
        <w:right w:val="none" w:sz="0" w:space="0" w:color="auto"/>
      </w:divBdr>
    </w:div>
    <w:div w:id="190148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24BCE-56C7-48D8-93FF-6ED62BCA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2822</Words>
  <Characters>16089</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Eloisia Goriup</dc:creator>
  <cp:lastModifiedBy>TLC</cp:lastModifiedBy>
  <cp:revision>2</cp:revision>
  <cp:lastPrinted>2019-03-12T07:51:00Z</cp:lastPrinted>
  <dcterms:created xsi:type="dcterms:W3CDTF">2019-07-15T08:04:00Z</dcterms:created>
  <dcterms:modified xsi:type="dcterms:W3CDTF">2019-07-15T08:04:00Z</dcterms:modified>
</cp:coreProperties>
</file>