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A8" w:rsidRDefault="004B2DA8" w:rsidP="005C09EC">
      <w:pPr>
        <w:spacing w:after="0"/>
        <w:rPr>
          <w:rFonts w:ascii="DecimaWE Rg" w:hAnsi="DecimaWE Rg"/>
          <w:b/>
          <w:sz w:val="24"/>
          <w:u w:val="single"/>
        </w:rPr>
      </w:pPr>
    </w:p>
    <w:p w:rsidR="004B2DA8" w:rsidRDefault="004B2DA8" w:rsidP="005C09EC">
      <w:pPr>
        <w:spacing w:after="0"/>
        <w:jc w:val="center"/>
        <w:rPr>
          <w:rFonts w:ascii="DecimaWE Rg" w:hAnsi="DecimaWE Rg"/>
          <w:b/>
          <w:sz w:val="24"/>
          <w:u w:val="single"/>
        </w:rPr>
      </w:pPr>
    </w:p>
    <w:p w:rsidR="004B2DA8" w:rsidRDefault="004B2DA8" w:rsidP="005C09EC">
      <w:pPr>
        <w:spacing w:after="0"/>
        <w:jc w:val="center"/>
        <w:rPr>
          <w:rFonts w:ascii="DecimaWE Rg" w:hAnsi="DecimaWE Rg"/>
          <w:b/>
          <w:sz w:val="24"/>
          <w:u w:val="single"/>
        </w:rPr>
      </w:pPr>
    </w:p>
    <w:p w:rsidR="004B2DA8" w:rsidRDefault="004B2DA8" w:rsidP="005C09EC">
      <w:pPr>
        <w:spacing w:after="0"/>
        <w:jc w:val="center"/>
        <w:rPr>
          <w:rFonts w:ascii="DecimaWE Rg" w:hAnsi="DecimaWE Rg"/>
          <w:b/>
          <w:sz w:val="24"/>
          <w:u w:val="single"/>
        </w:rPr>
      </w:pPr>
    </w:p>
    <w:p w:rsidR="004B2DA8" w:rsidRDefault="004B2DA8" w:rsidP="005C09EC">
      <w:pPr>
        <w:spacing w:after="0"/>
        <w:jc w:val="center"/>
        <w:rPr>
          <w:rFonts w:ascii="DecimaWE Rg" w:hAnsi="DecimaWE Rg"/>
          <w:b/>
          <w:sz w:val="24"/>
          <w:u w:val="single"/>
        </w:rPr>
      </w:pPr>
    </w:p>
    <w:p w:rsidR="004B2DA8" w:rsidRDefault="004B2DA8" w:rsidP="005C09EC">
      <w:pPr>
        <w:spacing w:after="0"/>
        <w:jc w:val="center"/>
        <w:rPr>
          <w:rFonts w:ascii="DecimaWE Rg" w:hAnsi="DecimaWE Rg"/>
          <w:b/>
          <w:sz w:val="24"/>
          <w:u w:val="single"/>
        </w:rPr>
      </w:pPr>
    </w:p>
    <w:p w:rsidR="004B2DA8" w:rsidRDefault="004B2DA8" w:rsidP="005C09EC">
      <w:pPr>
        <w:spacing w:after="0"/>
        <w:jc w:val="center"/>
        <w:rPr>
          <w:rFonts w:ascii="DecimaWE Rg" w:hAnsi="DecimaWE Rg"/>
          <w:b/>
          <w:sz w:val="24"/>
          <w:u w:val="single"/>
        </w:rPr>
      </w:pPr>
    </w:p>
    <w:p w:rsidR="004B2DA8" w:rsidRDefault="004B2DA8" w:rsidP="005C09EC">
      <w:pPr>
        <w:spacing w:after="0"/>
        <w:jc w:val="center"/>
        <w:rPr>
          <w:rFonts w:ascii="DecimaWE Rg" w:hAnsi="DecimaWE Rg"/>
          <w:b/>
          <w:sz w:val="24"/>
          <w:u w:val="single"/>
        </w:rPr>
      </w:pPr>
    </w:p>
    <w:p w:rsidR="004B2DA8" w:rsidRDefault="004B2DA8" w:rsidP="005C09EC">
      <w:pPr>
        <w:spacing w:after="0"/>
        <w:jc w:val="center"/>
        <w:rPr>
          <w:rFonts w:ascii="DecimaWE Rg" w:hAnsi="DecimaWE Rg"/>
          <w:b/>
          <w:sz w:val="24"/>
          <w:u w:val="single"/>
        </w:rPr>
      </w:pPr>
    </w:p>
    <w:p w:rsidR="004B2DA8" w:rsidRPr="00965FF2" w:rsidRDefault="004B2DA8" w:rsidP="005C09EC">
      <w:pPr>
        <w:spacing w:after="0"/>
        <w:jc w:val="center"/>
        <w:rPr>
          <w:rFonts w:ascii="DecimaWE Rg" w:hAnsi="DecimaWE Rg"/>
          <w:b/>
          <w:sz w:val="28"/>
          <w:szCs w:val="28"/>
          <w:u w:val="single"/>
        </w:rPr>
      </w:pPr>
      <w:r w:rsidRPr="00965FF2">
        <w:rPr>
          <w:rFonts w:ascii="DecimaWE Rg" w:hAnsi="DecimaWE Rg"/>
          <w:b/>
          <w:sz w:val="28"/>
          <w:szCs w:val="28"/>
          <w:u w:val="single"/>
        </w:rPr>
        <w:t xml:space="preserve">MISURA ATTIVA </w:t>
      </w:r>
      <w:r>
        <w:rPr>
          <w:rFonts w:ascii="DecimaWE Rg" w:hAnsi="DecimaWE Rg"/>
          <w:b/>
          <w:sz w:val="28"/>
          <w:szCs w:val="28"/>
          <w:u w:val="single"/>
        </w:rPr>
        <w:t>DI</w:t>
      </w:r>
      <w:r w:rsidRPr="00965FF2">
        <w:rPr>
          <w:rFonts w:ascii="DecimaWE Rg" w:hAnsi="DecimaWE Rg"/>
          <w:b/>
          <w:sz w:val="28"/>
          <w:szCs w:val="28"/>
          <w:u w:val="single"/>
        </w:rPr>
        <w:t xml:space="preserve"> SOSTEGNO AL REDDITO</w:t>
      </w:r>
    </w:p>
    <w:p w:rsidR="004B2DA8" w:rsidRPr="00344A13" w:rsidRDefault="004B2DA8" w:rsidP="005C09EC">
      <w:pPr>
        <w:spacing w:after="0"/>
        <w:jc w:val="center"/>
        <w:rPr>
          <w:rFonts w:ascii="DecimaWE Rg" w:hAnsi="DecimaWE Rg"/>
          <w:b/>
          <w:sz w:val="24"/>
          <w:u w:val="single"/>
        </w:rPr>
      </w:pPr>
    </w:p>
    <w:p w:rsidR="004B2DA8" w:rsidRDefault="004B2DA8" w:rsidP="005C09EC">
      <w:pPr>
        <w:spacing w:after="0"/>
        <w:jc w:val="center"/>
        <w:rPr>
          <w:rFonts w:ascii="DecimaWE Rg" w:hAnsi="DecimaWE Rg"/>
          <w:sz w:val="24"/>
        </w:rPr>
      </w:pPr>
      <w:r>
        <w:rPr>
          <w:rFonts w:ascii="DecimaWE Rg" w:hAnsi="DecimaWE Rg"/>
          <w:sz w:val="24"/>
        </w:rPr>
        <w:t>R</w:t>
      </w:r>
      <w:r w:rsidRPr="00344A13">
        <w:rPr>
          <w:rFonts w:ascii="DecimaWE Rg" w:hAnsi="DecimaWE Rg"/>
          <w:sz w:val="24"/>
        </w:rPr>
        <w:t>elazione di monitoraggio</w:t>
      </w:r>
      <w:r>
        <w:rPr>
          <w:rFonts w:ascii="DecimaWE Rg" w:hAnsi="DecimaWE Rg"/>
          <w:sz w:val="24"/>
        </w:rPr>
        <w:t xml:space="preserve"> – Domande presentate dal 01/01/2017 al 31/12/2017</w:t>
      </w: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4B2DA8" w:rsidRDefault="004B2DA8" w:rsidP="005C09EC">
      <w:pPr>
        <w:spacing w:after="0"/>
        <w:rPr>
          <w:rFonts w:ascii="DecimaWE Rg" w:hAnsi="DecimaWE Rg"/>
          <w:sz w:val="24"/>
        </w:rPr>
      </w:pPr>
    </w:p>
    <w:p w:rsidR="00DC1E55" w:rsidRPr="00DC1E55" w:rsidRDefault="004B2DA8" w:rsidP="00DC1E55">
      <w:pPr>
        <w:spacing w:after="0"/>
        <w:jc w:val="center"/>
        <w:rPr>
          <w:rFonts w:ascii="DecimaWE Rg" w:hAnsi="DecimaWE Rg"/>
          <w:sz w:val="24"/>
        </w:rPr>
        <w:sectPr w:rsidR="00DC1E55" w:rsidRPr="00DC1E55" w:rsidSect="00DC1E55">
          <w:footerReference w:type="default" r:id="rId9"/>
          <w:pgSz w:w="11906" w:h="16838"/>
          <w:pgMar w:top="1417" w:right="1134" w:bottom="1134" w:left="1134" w:header="708" w:footer="708" w:gutter="0"/>
          <w:pgNumType w:start="0"/>
          <w:cols w:space="708"/>
          <w:titlePg/>
          <w:docGrid w:linePitch="360"/>
        </w:sectPr>
      </w:pPr>
      <w:r>
        <w:rPr>
          <w:rFonts w:ascii="DecimaWE Rg" w:hAnsi="DecimaWE Rg"/>
          <w:sz w:val="24"/>
        </w:rPr>
        <w:t>Giugno 2018</w:t>
      </w:r>
      <w:r>
        <w:rPr>
          <w:rFonts w:ascii="DecimaWE Rg" w:hAnsi="DecimaWE Rg"/>
          <w:sz w:val="24"/>
        </w:rPr>
        <w:br w:type="column"/>
      </w:r>
      <w:r w:rsidR="009F6CA2">
        <w:rPr>
          <w:rFonts w:ascii="DecimaWE Rg" w:hAnsi="DecimaWE Rg"/>
          <w:noProof/>
          <w:sz w:val="24"/>
          <w:lang w:eastAsia="it-IT"/>
        </w:rPr>
        <w:lastRenderedPageBreak/>
        <w:drawing>
          <wp:inline distT="0" distB="0" distL="0" distR="0" wp14:anchorId="234A6335" wp14:editId="77CCB19B">
            <wp:extent cx="6114415" cy="8690610"/>
            <wp:effectExtent l="0" t="0" r="0" b="0"/>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4415" cy="8690610"/>
                    </a:xfrm>
                    <a:prstGeom prst="rect">
                      <a:avLst/>
                    </a:prstGeom>
                    <a:noFill/>
                    <a:ln>
                      <a:noFill/>
                    </a:ln>
                  </pic:spPr>
                </pic:pic>
              </a:graphicData>
            </a:graphic>
          </wp:inline>
        </w:drawing>
      </w:r>
    </w:p>
    <w:p w:rsidR="004B2DA8" w:rsidRDefault="004B2DA8" w:rsidP="00DC1E55">
      <w:pPr>
        <w:spacing w:after="0"/>
        <w:jc w:val="both"/>
        <w:rPr>
          <w:rFonts w:ascii="DecimaWE Rg" w:hAnsi="DecimaWE Rg"/>
          <w:b/>
        </w:rPr>
      </w:pPr>
    </w:p>
    <w:p w:rsidR="0094643A" w:rsidRDefault="0094643A" w:rsidP="005C09EC">
      <w:pPr>
        <w:spacing w:after="0"/>
        <w:ind w:left="709"/>
        <w:jc w:val="both"/>
        <w:rPr>
          <w:rFonts w:ascii="DecimaWE Rg" w:hAnsi="DecimaWE Rg"/>
          <w:b/>
        </w:rPr>
      </w:pPr>
      <w:r>
        <w:rPr>
          <w:rFonts w:ascii="DecimaWE Rg" w:hAnsi="DecimaWE Rg"/>
          <w:b/>
        </w:rPr>
        <w:t>INDICE</w:t>
      </w: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94643A">
      <w:pPr>
        <w:pStyle w:val="Sommario1"/>
        <w:tabs>
          <w:tab w:val="right" w:leader="dot" w:pos="9628"/>
        </w:tabs>
        <w:rPr>
          <w:noProof/>
        </w:rPr>
      </w:pPr>
      <w:r>
        <w:rPr>
          <w:rFonts w:ascii="DecimaWE Rg" w:hAnsi="DecimaWE Rg"/>
          <w:b/>
        </w:rPr>
        <w:fldChar w:fldCharType="begin"/>
      </w:r>
      <w:r>
        <w:rPr>
          <w:rFonts w:ascii="DecimaWE Rg" w:hAnsi="DecimaWE Rg"/>
          <w:b/>
        </w:rPr>
        <w:instrText xml:space="preserve"> TOC \o "1-3" \h \z \u </w:instrText>
      </w:r>
      <w:r>
        <w:rPr>
          <w:rFonts w:ascii="DecimaWE Rg" w:hAnsi="DecimaWE Rg"/>
          <w:b/>
        </w:rPr>
        <w:fldChar w:fldCharType="separate"/>
      </w:r>
      <w:hyperlink w:anchor="_Toc534813286" w:history="1">
        <w:r w:rsidRPr="00E93EF1">
          <w:rPr>
            <w:rStyle w:val="Collegamentoipertestuale"/>
            <w:rFonts w:ascii="DecimaWE Rg" w:hAnsi="DecimaWE Rg"/>
            <w:noProof/>
          </w:rPr>
          <w:t>Premessa</w:t>
        </w:r>
        <w:r>
          <w:rPr>
            <w:noProof/>
            <w:webHidden/>
          </w:rPr>
          <w:tab/>
        </w:r>
        <w:r>
          <w:rPr>
            <w:noProof/>
            <w:webHidden/>
          </w:rPr>
          <w:fldChar w:fldCharType="begin"/>
        </w:r>
        <w:r>
          <w:rPr>
            <w:noProof/>
            <w:webHidden/>
          </w:rPr>
          <w:instrText xml:space="preserve"> PAGEREF _Toc534813286 \h </w:instrText>
        </w:r>
        <w:r>
          <w:rPr>
            <w:noProof/>
            <w:webHidden/>
          </w:rPr>
        </w:r>
        <w:r>
          <w:rPr>
            <w:noProof/>
            <w:webHidden/>
          </w:rPr>
          <w:fldChar w:fldCharType="separate"/>
        </w:r>
        <w:r w:rsidR="00DC1E55">
          <w:rPr>
            <w:noProof/>
            <w:webHidden/>
          </w:rPr>
          <w:t>1</w:t>
        </w:r>
        <w:r>
          <w:rPr>
            <w:noProof/>
            <w:webHidden/>
          </w:rPr>
          <w:fldChar w:fldCharType="end"/>
        </w:r>
      </w:hyperlink>
    </w:p>
    <w:p w:rsidR="0094643A" w:rsidRDefault="001E5DBB" w:rsidP="0094643A">
      <w:pPr>
        <w:pStyle w:val="Sommario1"/>
        <w:tabs>
          <w:tab w:val="left" w:pos="440"/>
          <w:tab w:val="right" w:leader="dot" w:pos="9628"/>
        </w:tabs>
        <w:rPr>
          <w:noProof/>
        </w:rPr>
      </w:pPr>
      <w:hyperlink w:anchor="_Toc534813287" w:history="1">
        <w:r w:rsidR="0094643A" w:rsidRPr="00E93EF1">
          <w:rPr>
            <w:rStyle w:val="Collegamentoipertestuale"/>
            <w:rFonts w:ascii="DecimaWE Rg" w:hAnsi="DecimaWE Rg"/>
            <w:noProof/>
          </w:rPr>
          <w:t xml:space="preserve">1. </w:t>
        </w:r>
        <w:r w:rsidR="0094643A">
          <w:rPr>
            <w:noProof/>
          </w:rPr>
          <w:tab/>
        </w:r>
        <w:r w:rsidR="0094643A" w:rsidRPr="00E93EF1">
          <w:rPr>
            <w:rStyle w:val="Collegamentoipertestuale"/>
            <w:rFonts w:ascii="DecimaWE Rg" w:hAnsi="DecimaWE Rg"/>
            <w:noProof/>
          </w:rPr>
          <w:t>Le domande accolte e il loro andamento.</w:t>
        </w:r>
        <w:r w:rsidR="0094643A">
          <w:rPr>
            <w:noProof/>
            <w:webHidden/>
          </w:rPr>
          <w:tab/>
        </w:r>
        <w:r w:rsidR="0094643A">
          <w:rPr>
            <w:noProof/>
            <w:webHidden/>
          </w:rPr>
          <w:fldChar w:fldCharType="begin"/>
        </w:r>
        <w:r w:rsidR="0094643A">
          <w:rPr>
            <w:noProof/>
            <w:webHidden/>
          </w:rPr>
          <w:instrText xml:space="preserve"> PAGEREF _Toc534813287 \h </w:instrText>
        </w:r>
        <w:r w:rsidR="0094643A">
          <w:rPr>
            <w:noProof/>
            <w:webHidden/>
          </w:rPr>
        </w:r>
        <w:r w:rsidR="0094643A">
          <w:rPr>
            <w:noProof/>
            <w:webHidden/>
          </w:rPr>
          <w:fldChar w:fldCharType="separate"/>
        </w:r>
        <w:r w:rsidR="00DC1E55">
          <w:rPr>
            <w:noProof/>
            <w:webHidden/>
          </w:rPr>
          <w:t>2</w:t>
        </w:r>
        <w:r w:rsidR="0094643A">
          <w:rPr>
            <w:noProof/>
            <w:webHidden/>
          </w:rPr>
          <w:fldChar w:fldCharType="end"/>
        </w:r>
      </w:hyperlink>
    </w:p>
    <w:p w:rsidR="0094643A" w:rsidRDefault="001E5DBB" w:rsidP="0094643A">
      <w:pPr>
        <w:pStyle w:val="Sommario1"/>
        <w:tabs>
          <w:tab w:val="left" w:pos="440"/>
          <w:tab w:val="right" w:leader="dot" w:pos="9628"/>
        </w:tabs>
        <w:rPr>
          <w:noProof/>
        </w:rPr>
      </w:pPr>
      <w:hyperlink w:anchor="_Toc534813288" w:history="1">
        <w:r w:rsidR="0094643A" w:rsidRPr="00E93EF1">
          <w:rPr>
            <w:rStyle w:val="Collegamentoipertestuale"/>
            <w:rFonts w:ascii="DecimaWE Rg" w:hAnsi="DecimaWE Rg"/>
            <w:noProof/>
          </w:rPr>
          <w:t xml:space="preserve">2. </w:t>
        </w:r>
        <w:r w:rsidR="0094643A">
          <w:rPr>
            <w:noProof/>
          </w:rPr>
          <w:tab/>
        </w:r>
        <w:r w:rsidR="0094643A" w:rsidRPr="00E93EF1">
          <w:rPr>
            <w:rStyle w:val="Collegamentoipertestuale"/>
            <w:rFonts w:ascii="DecimaWE Rg" w:hAnsi="DecimaWE Rg"/>
            <w:noProof/>
          </w:rPr>
          <w:t>Nuclei beneficiari, distribuzione territoriale e spesa.</w:t>
        </w:r>
        <w:r w:rsidR="0094643A">
          <w:rPr>
            <w:noProof/>
            <w:webHidden/>
          </w:rPr>
          <w:tab/>
        </w:r>
        <w:r w:rsidR="0094643A">
          <w:rPr>
            <w:noProof/>
            <w:webHidden/>
          </w:rPr>
          <w:fldChar w:fldCharType="begin"/>
        </w:r>
        <w:r w:rsidR="0094643A">
          <w:rPr>
            <w:noProof/>
            <w:webHidden/>
          </w:rPr>
          <w:instrText xml:space="preserve"> PAGEREF _Toc534813288 \h </w:instrText>
        </w:r>
        <w:r w:rsidR="0094643A">
          <w:rPr>
            <w:noProof/>
            <w:webHidden/>
          </w:rPr>
        </w:r>
        <w:r w:rsidR="0094643A">
          <w:rPr>
            <w:noProof/>
            <w:webHidden/>
          </w:rPr>
          <w:fldChar w:fldCharType="separate"/>
        </w:r>
        <w:r w:rsidR="00DC1E55">
          <w:rPr>
            <w:noProof/>
            <w:webHidden/>
          </w:rPr>
          <w:t>4</w:t>
        </w:r>
        <w:r w:rsidR="0094643A">
          <w:rPr>
            <w:noProof/>
            <w:webHidden/>
          </w:rPr>
          <w:fldChar w:fldCharType="end"/>
        </w:r>
      </w:hyperlink>
    </w:p>
    <w:p w:rsidR="0094643A" w:rsidRDefault="001E5DBB" w:rsidP="0094643A">
      <w:pPr>
        <w:pStyle w:val="Sommario1"/>
        <w:tabs>
          <w:tab w:val="left" w:pos="440"/>
          <w:tab w:val="right" w:leader="dot" w:pos="9628"/>
        </w:tabs>
        <w:rPr>
          <w:noProof/>
        </w:rPr>
      </w:pPr>
      <w:hyperlink w:anchor="_Toc534813289" w:history="1">
        <w:r w:rsidR="0094643A" w:rsidRPr="00E93EF1">
          <w:rPr>
            <w:rStyle w:val="Collegamentoipertestuale"/>
            <w:rFonts w:ascii="DecimaWE Rg" w:hAnsi="DecimaWE Rg"/>
            <w:noProof/>
          </w:rPr>
          <w:t xml:space="preserve">3. </w:t>
        </w:r>
        <w:r w:rsidR="0094643A">
          <w:rPr>
            <w:noProof/>
          </w:rPr>
          <w:tab/>
        </w:r>
        <w:r w:rsidR="0094643A" w:rsidRPr="00E93EF1">
          <w:rPr>
            <w:rStyle w:val="Collegamentoipertestuale"/>
            <w:rFonts w:ascii="DecimaWE Rg" w:hAnsi="DecimaWE Rg"/>
            <w:noProof/>
          </w:rPr>
          <w:t>Nuclei beneficiari delle domande presentate nel 2017 e loro componenti: profilo socio anagrafico.</w:t>
        </w:r>
        <w:r w:rsidR="0094643A">
          <w:rPr>
            <w:noProof/>
            <w:webHidden/>
          </w:rPr>
          <w:tab/>
        </w:r>
        <w:r w:rsidR="0094643A">
          <w:rPr>
            <w:noProof/>
            <w:webHidden/>
          </w:rPr>
          <w:fldChar w:fldCharType="begin"/>
        </w:r>
        <w:r w:rsidR="0094643A">
          <w:rPr>
            <w:noProof/>
            <w:webHidden/>
          </w:rPr>
          <w:instrText xml:space="preserve"> PAGEREF _Toc534813289 \h </w:instrText>
        </w:r>
        <w:r w:rsidR="0094643A">
          <w:rPr>
            <w:noProof/>
            <w:webHidden/>
          </w:rPr>
        </w:r>
        <w:r w:rsidR="0094643A">
          <w:rPr>
            <w:noProof/>
            <w:webHidden/>
          </w:rPr>
          <w:fldChar w:fldCharType="separate"/>
        </w:r>
        <w:r w:rsidR="00DC1E55">
          <w:rPr>
            <w:noProof/>
            <w:webHidden/>
          </w:rPr>
          <w:t>6</w:t>
        </w:r>
        <w:r w:rsidR="0094643A">
          <w:rPr>
            <w:noProof/>
            <w:webHidden/>
          </w:rPr>
          <w:fldChar w:fldCharType="end"/>
        </w:r>
      </w:hyperlink>
    </w:p>
    <w:p w:rsidR="0094643A" w:rsidRDefault="001E5DBB" w:rsidP="0094643A">
      <w:pPr>
        <w:pStyle w:val="Sommario1"/>
        <w:tabs>
          <w:tab w:val="left" w:pos="440"/>
          <w:tab w:val="right" w:leader="dot" w:pos="9628"/>
        </w:tabs>
        <w:rPr>
          <w:noProof/>
        </w:rPr>
      </w:pPr>
      <w:hyperlink w:anchor="_Toc534813290" w:history="1">
        <w:r w:rsidR="0094643A" w:rsidRPr="00E93EF1">
          <w:rPr>
            <w:rStyle w:val="Collegamentoipertestuale"/>
            <w:rFonts w:ascii="DecimaWE Rg" w:hAnsi="DecimaWE Rg"/>
            <w:noProof/>
          </w:rPr>
          <w:t xml:space="preserve">4. </w:t>
        </w:r>
        <w:r w:rsidR="0094643A">
          <w:rPr>
            <w:noProof/>
          </w:rPr>
          <w:tab/>
        </w:r>
        <w:r w:rsidR="0094643A" w:rsidRPr="00E93EF1">
          <w:rPr>
            <w:rStyle w:val="Collegamentoipertestuale"/>
            <w:rFonts w:ascii="DecimaWE Rg" w:hAnsi="DecimaWE Rg"/>
            <w:noProof/>
          </w:rPr>
          <w:t>La presa in carico e la definizione dei patti di inclusione</w:t>
        </w:r>
        <w:r w:rsidR="0094643A">
          <w:rPr>
            <w:noProof/>
            <w:webHidden/>
          </w:rPr>
          <w:tab/>
        </w:r>
        <w:r w:rsidR="0094643A">
          <w:rPr>
            <w:noProof/>
            <w:webHidden/>
          </w:rPr>
          <w:fldChar w:fldCharType="begin"/>
        </w:r>
        <w:r w:rsidR="0094643A">
          <w:rPr>
            <w:noProof/>
            <w:webHidden/>
          </w:rPr>
          <w:instrText xml:space="preserve"> PAGEREF _Toc534813290 \h </w:instrText>
        </w:r>
        <w:r w:rsidR="0094643A">
          <w:rPr>
            <w:noProof/>
            <w:webHidden/>
          </w:rPr>
        </w:r>
        <w:r w:rsidR="0094643A">
          <w:rPr>
            <w:noProof/>
            <w:webHidden/>
          </w:rPr>
          <w:fldChar w:fldCharType="separate"/>
        </w:r>
        <w:r w:rsidR="00DC1E55">
          <w:rPr>
            <w:noProof/>
            <w:webHidden/>
          </w:rPr>
          <w:t>10</w:t>
        </w:r>
        <w:r w:rsidR="0094643A">
          <w:rPr>
            <w:noProof/>
            <w:webHidden/>
          </w:rPr>
          <w:fldChar w:fldCharType="end"/>
        </w:r>
      </w:hyperlink>
    </w:p>
    <w:p w:rsidR="0094643A" w:rsidRDefault="001E5DBB" w:rsidP="0094643A">
      <w:pPr>
        <w:pStyle w:val="Sommario1"/>
        <w:tabs>
          <w:tab w:val="right" w:leader="dot" w:pos="9628"/>
        </w:tabs>
        <w:rPr>
          <w:noProof/>
        </w:rPr>
      </w:pPr>
      <w:hyperlink w:anchor="_Toc534813291" w:history="1">
        <w:r w:rsidR="0094643A" w:rsidRPr="00E93EF1">
          <w:rPr>
            <w:rStyle w:val="Collegamentoipertestuale"/>
            <w:rFonts w:ascii="DecimaWE Rg" w:hAnsi="DecimaWE Rg"/>
            <w:noProof/>
          </w:rPr>
          <w:t>ALLEGATO</w:t>
        </w:r>
        <w:r w:rsidR="0094643A">
          <w:rPr>
            <w:rStyle w:val="Collegamentoipertestuale"/>
            <w:rFonts w:ascii="DecimaWE Rg" w:hAnsi="DecimaWE Rg"/>
            <w:noProof/>
          </w:rPr>
          <w:t xml:space="preserve"> – APPENDICE STATISTICA</w:t>
        </w:r>
        <w:r w:rsidR="0094643A">
          <w:rPr>
            <w:noProof/>
            <w:webHidden/>
          </w:rPr>
          <w:tab/>
        </w:r>
        <w:r w:rsidR="0094643A">
          <w:rPr>
            <w:noProof/>
            <w:webHidden/>
          </w:rPr>
          <w:fldChar w:fldCharType="begin"/>
        </w:r>
        <w:r w:rsidR="0094643A">
          <w:rPr>
            <w:noProof/>
            <w:webHidden/>
          </w:rPr>
          <w:instrText xml:space="preserve"> PAGEREF _Toc534813291 \h </w:instrText>
        </w:r>
        <w:r w:rsidR="0094643A">
          <w:rPr>
            <w:noProof/>
            <w:webHidden/>
          </w:rPr>
        </w:r>
        <w:r w:rsidR="0094643A">
          <w:rPr>
            <w:noProof/>
            <w:webHidden/>
          </w:rPr>
          <w:fldChar w:fldCharType="separate"/>
        </w:r>
        <w:r w:rsidR="00DC1E55">
          <w:rPr>
            <w:noProof/>
            <w:webHidden/>
          </w:rPr>
          <w:t>13</w:t>
        </w:r>
        <w:r w:rsidR="0094643A">
          <w:rPr>
            <w:noProof/>
            <w:webHidden/>
          </w:rPr>
          <w:fldChar w:fldCharType="end"/>
        </w:r>
      </w:hyperlink>
    </w:p>
    <w:p w:rsidR="0094643A" w:rsidRDefault="0094643A" w:rsidP="0094643A">
      <w:pPr>
        <w:spacing w:after="0"/>
        <w:ind w:left="709"/>
        <w:jc w:val="both"/>
        <w:rPr>
          <w:rFonts w:ascii="DecimaWE Rg" w:hAnsi="DecimaWE Rg"/>
          <w:b/>
        </w:rPr>
      </w:pPr>
      <w:r>
        <w:rPr>
          <w:rFonts w:ascii="DecimaWE Rg" w:hAnsi="DecimaWE Rg"/>
          <w:b/>
        </w:rPr>
        <w:fldChar w:fldCharType="end"/>
      </w: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DC1E55" w:rsidP="00DC1E55">
      <w:pPr>
        <w:tabs>
          <w:tab w:val="left" w:pos="6673"/>
        </w:tabs>
        <w:spacing w:after="0"/>
        <w:ind w:left="709"/>
        <w:jc w:val="both"/>
        <w:rPr>
          <w:rFonts w:ascii="DecimaWE Rg" w:hAnsi="DecimaWE Rg"/>
          <w:b/>
        </w:rPr>
      </w:pPr>
      <w:r>
        <w:rPr>
          <w:rFonts w:ascii="DecimaWE Rg" w:hAnsi="DecimaWE Rg"/>
          <w:b/>
        </w:rPr>
        <w:tab/>
      </w: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94643A" w:rsidRDefault="0094643A" w:rsidP="005C09EC">
      <w:pPr>
        <w:spacing w:after="0"/>
        <w:ind w:left="709"/>
        <w:jc w:val="both"/>
        <w:rPr>
          <w:rFonts w:ascii="DecimaWE Rg" w:hAnsi="DecimaWE Rg"/>
          <w:b/>
        </w:rPr>
      </w:pPr>
    </w:p>
    <w:p w:rsidR="004B2DA8" w:rsidRPr="0094643A" w:rsidRDefault="004B2DA8" w:rsidP="0094643A">
      <w:pPr>
        <w:pStyle w:val="Titolo1"/>
        <w:rPr>
          <w:rFonts w:ascii="DecimaWE Rg" w:hAnsi="DecimaWE Rg"/>
          <w:color w:val="000000" w:themeColor="text1"/>
          <w:sz w:val="22"/>
          <w:szCs w:val="22"/>
        </w:rPr>
      </w:pPr>
      <w:bookmarkStart w:id="0" w:name="_Toc534813286"/>
      <w:r w:rsidRPr="0094643A">
        <w:rPr>
          <w:rFonts w:ascii="DecimaWE Rg" w:hAnsi="DecimaWE Rg"/>
          <w:color w:val="000000" w:themeColor="text1"/>
          <w:sz w:val="22"/>
          <w:szCs w:val="22"/>
        </w:rPr>
        <w:lastRenderedPageBreak/>
        <w:t>Premessa</w:t>
      </w:r>
      <w:bookmarkEnd w:id="0"/>
    </w:p>
    <w:p w:rsidR="004B2DA8" w:rsidRPr="00052258" w:rsidRDefault="004B2DA8" w:rsidP="00842F22">
      <w:pPr>
        <w:spacing w:after="0"/>
        <w:jc w:val="both"/>
        <w:rPr>
          <w:rFonts w:ascii="DecimaWE Rg" w:hAnsi="DecimaWE Rg"/>
          <w:b/>
        </w:rPr>
      </w:pPr>
    </w:p>
    <w:p w:rsidR="004B2DA8" w:rsidRPr="002B3E08" w:rsidRDefault="004B2DA8" w:rsidP="005C09EC">
      <w:pPr>
        <w:spacing w:after="0"/>
        <w:jc w:val="both"/>
        <w:rPr>
          <w:rFonts w:ascii="DecimaWE Rg" w:hAnsi="DecimaWE Rg"/>
        </w:rPr>
      </w:pPr>
      <w:r w:rsidRPr="002B3E08">
        <w:rPr>
          <w:rFonts w:ascii="DecimaWE Rg" w:hAnsi="DecimaWE Rg"/>
        </w:rPr>
        <w:t xml:space="preserve">La Misura attiva di sostegno al reddito (di seguito MIA), istituita in via sperimentale dalla L.R. 15/2015 per un periodo di tre anni e attuata con regolamento emanato con </w:t>
      </w:r>
      <w:proofErr w:type="spellStart"/>
      <w:r w:rsidRPr="002B3E08">
        <w:rPr>
          <w:rFonts w:ascii="DecimaWE Rg" w:hAnsi="DecimaWE Rg"/>
        </w:rPr>
        <w:t>D.P.Reg</w:t>
      </w:r>
      <w:proofErr w:type="spellEnd"/>
      <w:r w:rsidRPr="002B3E08">
        <w:rPr>
          <w:rFonts w:ascii="DecimaWE Rg" w:hAnsi="DecimaWE Rg"/>
        </w:rPr>
        <w:t>. 15/10/2015 n. 0216/</w:t>
      </w:r>
      <w:proofErr w:type="spellStart"/>
      <w:r w:rsidRPr="002B3E08">
        <w:rPr>
          <w:rFonts w:ascii="DecimaWE Rg" w:hAnsi="DecimaWE Rg"/>
        </w:rPr>
        <w:t>Pres</w:t>
      </w:r>
      <w:proofErr w:type="spellEnd"/>
      <w:r w:rsidRPr="002B3E08">
        <w:rPr>
          <w:rFonts w:ascii="DecimaWE Rg" w:hAnsi="DecimaWE Rg"/>
        </w:rPr>
        <w:t>., è finalizzata a contrastare la povertà e l’esclusione sociale dei nuclei familiari, anche unipersonali, con almeno un componente residente in Regione da non meno di ventiquattro mesi e con Indicatore della situazione economica equivalente (ISEE) inferiore a 6.000 euro, oltre ad altri requisiti economici e patrimoniali</w:t>
      </w:r>
      <w:r w:rsidRPr="002B3E08">
        <w:rPr>
          <w:rStyle w:val="Rimandonotaapidipagina"/>
          <w:rFonts w:ascii="DecimaWE Rg" w:hAnsi="DecimaWE Rg"/>
        </w:rPr>
        <w:footnoteReference w:id="1"/>
      </w:r>
      <w:r w:rsidRPr="002B3E08">
        <w:rPr>
          <w:rFonts w:ascii="DecimaWE Rg" w:hAnsi="DecimaWE Rg"/>
        </w:rPr>
        <w:t>.</w:t>
      </w:r>
    </w:p>
    <w:p w:rsidR="004B2DA8" w:rsidRPr="002B3E08" w:rsidRDefault="004B2DA8" w:rsidP="005C09EC">
      <w:pPr>
        <w:spacing w:after="0"/>
        <w:jc w:val="both"/>
        <w:rPr>
          <w:rFonts w:ascii="DecimaWE Rg" w:hAnsi="DecimaWE Rg"/>
        </w:rPr>
      </w:pPr>
      <w:r w:rsidRPr="002B3E08">
        <w:rPr>
          <w:rFonts w:ascii="DecimaWE Rg" w:hAnsi="DecimaWE Rg"/>
        </w:rPr>
        <w:t xml:space="preserve">La MIA, al fine di favorire la graduale uscita in autonomia dalla condizione di indigenza del nucleo beneficiario, prevede l’erogazione di un contributo economico condizionato alla presa in carico del nucleo stesso da parte dei Servizi Sociali dei Comuni che, sulla base di una valutazione integrata delle problematiche e dei bisogni, individuano le progettualità da realizzare in rete con Servizi regionali competenti in materia di lavoro e della formazione e con i soggetti del terzo settore. La presa in carico culmina nella predisposizione di un Patto di inclusione in cui sono previsti gli obiettivi di inclusione sociale, di </w:t>
      </w:r>
      <w:proofErr w:type="spellStart"/>
      <w:r w:rsidRPr="002B3E08">
        <w:rPr>
          <w:rFonts w:ascii="DecimaWE Rg" w:hAnsi="DecimaWE Rg"/>
        </w:rPr>
        <w:t>occupabilità</w:t>
      </w:r>
      <w:proofErr w:type="spellEnd"/>
      <w:r w:rsidRPr="002B3E08">
        <w:rPr>
          <w:rFonts w:ascii="DecimaWE Rg" w:hAnsi="DecimaWE Rg"/>
        </w:rPr>
        <w:t>, di inserimento lavorativo, di riduzione dei rischi di marginalità per ciascun componente del nucleo e i relativi impegni che devono assumere e rispettare.</w:t>
      </w:r>
    </w:p>
    <w:p w:rsidR="004B2DA8" w:rsidRPr="002B3E08" w:rsidRDefault="004B2DA8" w:rsidP="00657402">
      <w:pPr>
        <w:spacing w:after="0"/>
        <w:jc w:val="both"/>
        <w:rPr>
          <w:rFonts w:ascii="DecimaWE Rg" w:hAnsi="DecimaWE Rg"/>
        </w:rPr>
      </w:pPr>
      <w:r w:rsidRPr="002B3E08">
        <w:rPr>
          <w:rFonts w:ascii="DecimaWE Rg" w:hAnsi="DecimaWE Rg"/>
        </w:rPr>
        <w:t xml:space="preserve">La MIA ha pertanto anticipato i contenuti e le impostazioni delle misure nazionali che sono state avviate successivamente e con le quali la MIA si è coordinata e integrata, ovvero il Sostegno per l’Inclusione Attiva (di seguito SIA) attuato con Decreto interministeriale 26 maggio 2016 ed entrato in vigore a partire dal 2 settembre 2016 e il Reddito di Inclusione (REI) attuato con </w:t>
      </w:r>
      <w:proofErr w:type="spellStart"/>
      <w:r w:rsidRPr="002B3E08">
        <w:rPr>
          <w:rFonts w:ascii="DecimaWE Rg" w:hAnsi="DecimaWE Rg"/>
        </w:rPr>
        <w:t>D.Lgs.</w:t>
      </w:r>
      <w:proofErr w:type="spellEnd"/>
      <w:r w:rsidRPr="002B3E08">
        <w:rPr>
          <w:rFonts w:ascii="DecimaWE Rg" w:hAnsi="DecimaWE Rg"/>
        </w:rPr>
        <w:t xml:space="preserve"> n. 147 del 15 settembre </w:t>
      </w:r>
      <w:smartTag w:uri="urn:schemas-microsoft-com:office:smarttags" w:element="metricconverter">
        <w:smartTagPr>
          <w:attr w:name="ProductID" w:val="2017 a"/>
        </w:smartTagPr>
        <w:r w:rsidRPr="002B3E08">
          <w:rPr>
            <w:rFonts w:ascii="DecimaWE Rg" w:hAnsi="DecimaWE Rg"/>
          </w:rPr>
          <w:t>2017 a</w:t>
        </w:r>
      </w:smartTag>
      <w:r w:rsidRPr="002B3E08">
        <w:rPr>
          <w:rFonts w:ascii="DecimaWE Rg" w:hAnsi="DecimaWE Rg"/>
        </w:rPr>
        <w:t xml:space="preserve"> partire dal 1 dicembre 2017, </w:t>
      </w:r>
      <w:r w:rsidRPr="00E52171">
        <w:rPr>
          <w:rFonts w:ascii="DecimaWE Rg" w:hAnsi="DecimaWE Rg"/>
        </w:rPr>
        <w:t>che ha sostituito il SIA e che viene identificato dalla legge istitutiva quale misura unica a livello nazionale di contrasto alla povertà e all'esclusione sociale a carattere universale</w:t>
      </w:r>
      <w:r>
        <w:rPr>
          <w:rFonts w:ascii="DecimaWE Rg" w:hAnsi="DecimaWE Rg"/>
        </w:rPr>
        <w:t xml:space="preserve"> e </w:t>
      </w:r>
      <w:r w:rsidRPr="002B3E08">
        <w:rPr>
          <w:rFonts w:ascii="DecimaWE Rg" w:hAnsi="DecimaWE Rg"/>
        </w:rPr>
        <w:t>livello essenziale delle prestazioni da garantire sul territorio nazionale.</w:t>
      </w:r>
    </w:p>
    <w:p w:rsidR="004B2DA8" w:rsidRPr="002B3E08" w:rsidRDefault="004B2DA8" w:rsidP="005C09EC">
      <w:pPr>
        <w:tabs>
          <w:tab w:val="left" w:pos="284"/>
        </w:tabs>
        <w:spacing w:after="0"/>
        <w:jc w:val="both"/>
        <w:rPr>
          <w:rFonts w:ascii="DecimaWE Rg" w:hAnsi="DecimaWE Rg"/>
        </w:rPr>
      </w:pPr>
      <w:r w:rsidRPr="002B3E08">
        <w:rPr>
          <w:rFonts w:ascii="DecimaWE Rg" w:hAnsi="DecimaWE Rg"/>
        </w:rPr>
        <w:t>Per coordinare la MIA con il SIA sono stati stipulati accordi con il Ministero del Lavoro e delle Politiche Sociali, con il Ministero dell’Economia e delle Finanze e con INPS al fine di:</w:t>
      </w:r>
    </w:p>
    <w:p w:rsidR="004B2DA8" w:rsidRPr="002B3E08" w:rsidRDefault="004B2DA8" w:rsidP="005C09EC">
      <w:pPr>
        <w:pStyle w:val="Paragrafoelenco"/>
        <w:numPr>
          <w:ilvl w:val="0"/>
          <w:numId w:val="8"/>
        </w:numPr>
        <w:tabs>
          <w:tab w:val="left" w:pos="284"/>
        </w:tabs>
        <w:spacing w:after="0"/>
        <w:ind w:left="0" w:firstLine="0"/>
        <w:jc w:val="both"/>
        <w:rPr>
          <w:rFonts w:ascii="DecimaWE Rg" w:hAnsi="DecimaWE Rg"/>
        </w:rPr>
      </w:pPr>
      <w:r w:rsidRPr="002B3E08">
        <w:rPr>
          <w:rFonts w:ascii="DecimaWE Rg" w:hAnsi="DecimaWE Rg"/>
        </w:rPr>
        <w:t>configurare la MIA quale integrazione economica al SIA nel caso in cui i richiedenti siano in possesso dei requisiti per accedere a entrambe le misure</w:t>
      </w:r>
      <w:r>
        <w:rPr>
          <w:rStyle w:val="Rimandonotaapidipagina"/>
          <w:rFonts w:ascii="DecimaWE Rg" w:hAnsi="DecimaWE Rg"/>
        </w:rPr>
        <w:footnoteReference w:id="2"/>
      </w:r>
      <w:r w:rsidRPr="002B3E08">
        <w:rPr>
          <w:rFonts w:ascii="DecimaWE Rg" w:hAnsi="DecimaWE Rg"/>
        </w:rPr>
        <w:t>;</w:t>
      </w:r>
    </w:p>
    <w:p w:rsidR="004B2DA8" w:rsidRPr="002B3E08" w:rsidRDefault="004B2DA8" w:rsidP="005C09EC">
      <w:pPr>
        <w:pStyle w:val="Paragrafoelenco"/>
        <w:numPr>
          <w:ilvl w:val="0"/>
          <w:numId w:val="8"/>
        </w:numPr>
        <w:tabs>
          <w:tab w:val="left" w:pos="284"/>
        </w:tabs>
        <w:spacing w:after="0"/>
        <w:ind w:left="0" w:firstLine="0"/>
        <w:jc w:val="both"/>
        <w:rPr>
          <w:rFonts w:ascii="DecimaWE Rg" w:hAnsi="DecimaWE Rg"/>
        </w:rPr>
      </w:pPr>
      <w:r w:rsidRPr="002B3E08">
        <w:rPr>
          <w:rFonts w:ascii="DecimaWE Rg" w:hAnsi="DecimaWE Rg"/>
        </w:rPr>
        <w:t>coordinare le modalità di accesso alle misure prevedendo un unico modello di domanda valido per entrambe;</w:t>
      </w:r>
    </w:p>
    <w:p w:rsidR="004B2DA8" w:rsidRDefault="004B2DA8" w:rsidP="005C09EC">
      <w:pPr>
        <w:pStyle w:val="Paragrafoelenco"/>
        <w:numPr>
          <w:ilvl w:val="0"/>
          <w:numId w:val="8"/>
        </w:numPr>
        <w:tabs>
          <w:tab w:val="left" w:pos="284"/>
        </w:tabs>
        <w:spacing w:after="0"/>
        <w:ind w:left="0" w:firstLine="0"/>
        <w:jc w:val="both"/>
        <w:rPr>
          <w:rFonts w:ascii="DecimaWE Rg" w:hAnsi="DecimaWE Rg"/>
        </w:rPr>
      </w:pPr>
      <w:r w:rsidRPr="002B3E08">
        <w:rPr>
          <w:rFonts w:ascii="DecimaWE Rg" w:hAnsi="DecimaWE Rg"/>
        </w:rPr>
        <w:t>istruire le domande di MIA con le medesime modalità previste per il SIA, avvalendosi della collaborazione di INPS per la verifica dei requisiti di accesso e del mantenimento degli stessi nel corso dell’erogazione;</w:t>
      </w:r>
    </w:p>
    <w:p w:rsidR="004B2DA8" w:rsidRPr="00864514" w:rsidRDefault="004B2DA8" w:rsidP="005C09EC">
      <w:pPr>
        <w:pStyle w:val="Paragrafoelenco"/>
        <w:numPr>
          <w:ilvl w:val="0"/>
          <w:numId w:val="8"/>
        </w:numPr>
        <w:tabs>
          <w:tab w:val="left" w:pos="284"/>
        </w:tabs>
        <w:spacing w:after="0"/>
        <w:ind w:left="0" w:firstLine="0"/>
        <w:jc w:val="both"/>
        <w:rPr>
          <w:rFonts w:ascii="DecimaWE Rg" w:hAnsi="DecimaWE Rg"/>
        </w:rPr>
      </w:pPr>
      <w:r w:rsidRPr="00864514">
        <w:rPr>
          <w:rFonts w:ascii="DecimaWE Rg" w:hAnsi="DecimaWE Rg"/>
        </w:rPr>
        <w:t>coordinare e integrare le modalità di presa in carico dei nuclei;</w:t>
      </w:r>
    </w:p>
    <w:p w:rsidR="004B2DA8" w:rsidRPr="002B3E08" w:rsidRDefault="004B2DA8" w:rsidP="005C09EC">
      <w:pPr>
        <w:pStyle w:val="Paragrafoelenco"/>
        <w:numPr>
          <w:ilvl w:val="0"/>
          <w:numId w:val="8"/>
        </w:numPr>
        <w:tabs>
          <w:tab w:val="left" w:pos="284"/>
        </w:tabs>
        <w:spacing w:after="0"/>
        <w:ind w:left="0" w:firstLine="0"/>
        <w:jc w:val="both"/>
        <w:rPr>
          <w:rFonts w:ascii="DecimaWE Rg" w:hAnsi="DecimaWE Rg"/>
        </w:rPr>
      </w:pPr>
      <w:r w:rsidRPr="002B3E08">
        <w:rPr>
          <w:rFonts w:ascii="DecimaWE Rg" w:hAnsi="DecimaWE Rg"/>
        </w:rPr>
        <w:t>utilizzare la modalità di pagamento su car</w:t>
      </w:r>
      <w:r>
        <w:rPr>
          <w:rFonts w:ascii="DecimaWE Rg" w:hAnsi="DecimaWE Rg"/>
        </w:rPr>
        <w:t>ta elettronica anche per la MIA.</w:t>
      </w:r>
    </w:p>
    <w:p w:rsidR="004B2DA8" w:rsidRDefault="004B2DA8" w:rsidP="005C09EC">
      <w:pPr>
        <w:tabs>
          <w:tab w:val="left" w:pos="284"/>
        </w:tabs>
        <w:spacing w:after="0"/>
        <w:jc w:val="both"/>
        <w:rPr>
          <w:rFonts w:ascii="DecimaWE Rg" w:hAnsi="DecimaWE Rg"/>
        </w:rPr>
      </w:pPr>
      <w:r w:rsidRPr="002B3E08">
        <w:rPr>
          <w:rFonts w:ascii="DecimaWE Rg" w:hAnsi="DecimaWE Rg"/>
        </w:rPr>
        <w:t>In seguito, l’avvio del REI ha comportato la necessità di coordinare la MIA an</w:t>
      </w:r>
      <w:r w:rsidR="00864514">
        <w:rPr>
          <w:rFonts w:ascii="DecimaWE Rg" w:hAnsi="DecimaWE Rg"/>
        </w:rPr>
        <w:t>che con la nuova misura statale</w:t>
      </w:r>
      <w:r w:rsidRPr="002B3E08">
        <w:rPr>
          <w:rFonts w:ascii="DecimaWE Rg" w:hAnsi="DecimaWE Rg"/>
        </w:rPr>
        <w:t xml:space="preserve"> mediante l’istituzione, con legge regionale 35/2017, delle integrazioni regionali al REI </w:t>
      </w:r>
      <w:r>
        <w:rPr>
          <w:rFonts w:ascii="DecimaWE Rg" w:hAnsi="DecimaWE Rg"/>
        </w:rPr>
        <w:t xml:space="preserve">(di seguito “REI FVG”) </w:t>
      </w:r>
      <w:r w:rsidRPr="002B3E08">
        <w:rPr>
          <w:rFonts w:ascii="DecimaWE Rg" w:hAnsi="DecimaWE Rg"/>
        </w:rPr>
        <w:t>che spettano, in sostituzione della MIA, a coloro che sono in possesso dei requisiti per accedere</w:t>
      </w:r>
      <w:r w:rsidR="00864514">
        <w:rPr>
          <w:rFonts w:ascii="DecimaWE Rg" w:hAnsi="DecimaWE Rg"/>
        </w:rPr>
        <w:t xml:space="preserve"> al REI e il cui componente che</w:t>
      </w:r>
      <w:r w:rsidRPr="002B3E08">
        <w:rPr>
          <w:rFonts w:ascii="DecimaWE Rg" w:hAnsi="DecimaWE Rg"/>
        </w:rPr>
        <w:t xml:space="preserve"> </w:t>
      </w:r>
      <w:r w:rsidRPr="003D19D3">
        <w:rPr>
          <w:rFonts w:ascii="DecimaWE Rg" w:hAnsi="DecimaWE Rg"/>
        </w:rPr>
        <w:t>ne fa</w:t>
      </w:r>
      <w:r w:rsidRPr="002B3E08">
        <w:rPr>
          <w:rFonts w:ascii="DecimaWE Rg" w:hAnsi="DecimaWE Rg"/>
        </w:rPr>
        <w:t xml:space="preserve"> richiesta è in </w:t>
      </w:r>
      <w:r w:rsidRPr="00864514">
        <w:rPr>
          <w:rFonts w:ascii="DecimaWE Rg" w:hAnsi="DecimaWE Rg"/>
        </w:rPr>
        <w:t>possesso del medesimo requisito</w:t>
      </w:r>
      <w:r w:rsidRPr="002B3E08">
        <w:rPr>
          <w:rFonts w:ascii="DecimaWE Rg" w:hAnsi="DecimaWE Rg"/>
        </w:rPr>
        <w:t xml:space="preserve"> di residenza in Regione da almeno 24 mesi.</w:t>
      </w:r>
    </w:p>
    <w:p w:rsidR="004B2DA8" w:rsidRDefault="004B2DA8" w:rsidP="005C09EC">
      <w:pPr>
        <w:tabs>
          <w:tab w:val="left" w:pos="284"/>
        </w:tabs>
        <w:spacing w:after="0"/>
        <w:jc w:val="both"/>
        <w:rPr>
          <w:rFonts w:ascii="DecimaWE Rg" w:hAnsi="DecimaWE Rg"/>
        </w:rPr>
      </w:pPr>
    </w:p>
    <w:p w:rsidR="004B2DA8" w:rsidRDefault="004B2DA8" w:rsidP="005C09EC">
      <w:pPr>
        <w:tabs>
          <w:tab w:val="left" w:pos="284"/>
        </w:tabs>
        <w:spacing w:after="0"/>
        <w:jc w:val="both"/>
        <w:rPr>
          <w:rFonts w:ascii="DecimaWE Rg" w:hAnsi="DecimaWE Rg"/>
        </w:rPr>
      </w:pPr>
      <w:r w:rsidRPr="00344A13">
        <w:rPr>
          <w:rFonts w:ascii="DecimaWE Rg" w:hAnsi="DecimaWE Rg"/>
        </w:rPr>
        <w:t xml:space="preserve">La relazione in </w:t>
      </w:r>
      <w:r>
        <w:rPr>
          <w:rFonts w:ascii="DecimaWE Rg" w:hAnsi="DecimaWE Rg"/>
        </w:rPr>
        <w:t>oggetto propone un aggiornamento del monitoraggio sulla sperimentazione della MIA</w:t>
      </w:r>
      <w:r>
        <w:rPr>
          <w:rStyle w:val="Rimandonotaapidipagina"/>
          <w:rFonts w:ascii="DecimaWE Rg" w:hAnsi="DecimaWE Rg"/>
        </w:rPr>
        <w:footnoteReference w:id="3"/>
      </w:r>
      <w:r>
        <w:rPr>
          <w:rFonts w:ascii="DecimaWE Rg" w:hAnsi="DecimaWE Rg"/>
        </w:rPr>
        <w:t xml:space="preserve">, </w:t>
      </w:r>
      <w:r w:rsidRPr="00344A13">
        <w:rPr>
          <w:rFonts w:ascii="DecimaWE Rg" w:hAnsi="DecimaWE Rg"/>
        </w:rPr>
        <w:t>basan</w:t>
      </w:r>
      <w:r>
        <w:rPr>
          <w:rFonts w:ascii="DecimaWE Rg" w:hAnsi="DecimaWE Rg"/>
        </w:rPr>
        <w:t>d</w:t>
      </w:r>
      <w:r w:rsidRPr="00344A13">
        <w:rPr>
          <w:rFonts w:ascii="DecimaWE Rg" w:hAnsi="DecimaWE Rg"/>
        </w:rPr>
        <w:t>o</w:t>
      </w:r>
      <w:r>
        <w:rPr>
          <w:rFonts w:ascii="DecimaWE Rg" w:hAnsi="DecimaWE Rg"/>
        </w:rPr>
        <w:t>si</w:t>
      </w:r>
      <w:r w:rsidRPr="00344A13">
        <w:rPr>
          <w:rFonts w:ascii="DecimaWE Rg" w:hAnsi="DecimaWE Rg"/>
        </w:rPr>
        <w:t xml:space="preserve"> sui dati riferiti al</w:t>
      </w:r>
      <w:r>
        <w:rPr>
          <w:rFonts w:ascii="DecimaWE Rg" w:hAnsi="DecimaWE Rg"/>
        </w:rPr>
        <w:t>le domande presentate nel periodo dal 01/01</w:t>
      </w:r>
      <w:r w:rsidRPr="00344A13">
        <w:rPr>
          <w:rFonts w:ascii="DecimaWE Rg" w:hAnsi="DecimaWE Rg"/>
        </w:rPr>
        <w:t>/201</w:t>
      </w:r>
      <w:r>
        <w:rPr>
          <w:rFonts w:ascii="DecimaWE Rg" w:hAnsi="DecimaWE Rg"/>
        </w:rPr>
        <w:t>7</w:t>
      </w:r>
      <w:r w:rsidRPr="00344A13">
        <w:rPr>
          <w:rFonts w:ascii="DecimaWE Rg" w:hAnsi="DecimaWE Rg"/>
        </w:rPr>
        <w:t xml:space="preserve"> al </w:t>
      </w:r>
      <w:r>
        <w:rPr>
          <w:rFonts w:ascii="DecimaWE Rg" w:hAnsi="DecimaWE Rg"/>
        </w:rPr>
        <w:t>31</w:t>
      </w:r>
      <w:r w:rsidRPr="00344A13">
        <w:rPr>
          <w:rFonts w:ascii="DecimaWE Rg" w:hAnsi="DecimaWE Rg"/>
        </w:rPr>
        <w:t>/</w:t>
      </w:r>
      <w:r>
        <w:rPr>
          <w:rFonts w:ascii="DecimaWE Rg" w:hAnsi="DecimaWE Rg"/>
        </w:rPr>
        <w:t>12</w:t>
      </w:r>
      <w:r w:rsidRPr="00344A13">
        <w:rPr>
          <w:rFonts w:ascii="DecimaWE Rg" w:hAnsi="DecimaWE Rg"/>
        </w:rPr>
        <w:t>/201</w:t>
      </w:r>
      <w:r>
        <w:rPr>
          <w:rFonts w:ascii="DecimaWE Rg" w:hAnsi="DecimaWE Rg"/>
        </w:rPr>
        <w:t>7. Verranno analizzate nello specifico:</w:t>
      </w:r>
    </w:p>
    <w:p w:rsidR="004B2DA8" w:rsidRPr="00344A13" w:rsidRDefault="004B2DA8" w:rsidP="005C09EC">
      <w:pPr>
        <w:pStyle w:val="Paragrafoelenco"/>
        <w:numPr>
          <w:ilvl w:val="0"/>
          <w:numId w:val="4"/>
        </w:numPr>
        <w:tabs>
          <w:tab w:val="left" w:pos="284"/>
        </w:tabs>
        <w:spacing w:after="0"/>
        <w:ind w:left="0" w:firstLine="0"/>
        <w:rPr>
          <w:rFonts w:ascii="DecimaWE Rg" w:hAnsi="DecimaWE Rg"/>
        </w:rPr>
      </w:pPr>
      <w:r>
        <w:rPr>
          <w:rFonts w:ascii="DecimaWE Rg" w:hAnsi="DecimaWE Rg"/>
        </w:rPr>
        <w:t>le domande accolte (MIA; SIA+</w:t>
      </w:r>
      <w:r w:rsidR="00864514">
        <w:rPr>
          <w:rFonts w:ascii="DecimaWE Rg" w:hAnsi="DecimaWE Rg"/>
        </w:rPr>
        <w:t>MIA</w:t>
      </w:r>
      <w:r>
        <w:rPr>
          <w:rFonts w:ascii="DecimaWE Rg" w:hAnsi="DecimaWE Rg"/>
        </w:rPr>
        <w:t>) e il loro andamento nel periodo;</w:t>
      </w:r>
    </w:p>
    <w:p w:rsidR="004B2DA8" w:rsidRPr="00905D34" w:rsidRDefault="004B2DA8" w:rsidP="005C09EC">
      <w:pPr>
        <w:pStyle w:val="Paragrafoelenco"/>
        <w:numPr>
          <w:ilvl w:val="0"/>
          <w:numId w:val="4"/>
        </w:numPr>
        <w:tabs>
          <w:tab w:val="left" w:pos="284"/>
        </w:tabs>
        <w:spacing w:after="0"/>
        <w:ind w:left="0" w:firstLine="0"/>
        <w:rPr>
          <w:rFonts w:ascii="DecimaWE Rg" w:hAnsi="DecimaWE Rg"/>
        </w:rPr>
      </w:pPr>
      <w:r>
        <w:rPr>
          <w:rFonts w:ascii="DecimaWE Rg" w:hAnsi="DecimaWE Rg"/>
        </w:rPr>
        <w:t xml:space="preserve">i nuclei </w:t>
      </w:r>
      <w:r w:rsidRPr="00905D34">
        <w:rPr>
          <w:rFonts w:ascii="DecimaWE Rg" w:hAnsi="DecimaWE Rg"/>
        </w:rPr>
        <w:t>beneficiari e le loro caratteristiche</w:t>
      </w:r>
      <w:r>
        <w:rPr>
          <w:rFonts w:ascii="DecimaWE Rg" w:hAnsi="DecimaWE Rg"/>
        </w:rPr>
        <w:t>, con riferimento a tali domande</w:t>
      </w:r>
      <w:r w:rsidRPr="00905D34">
        <w:rPr>
          <w:rFonts w:ascii="DecimaWE Rg" w:hAnsi="DecimaWE Rg"/>
        </w:rPr>
        <w:t>;</w:t>
      </w:r>
    </w:p>
    <w:p w:rsidR="004B2DA8" w:rsidRDefault="004B2DA8" w:rsidP="005C09EC">
      <w:pPr>
        <w:pStyle w:val="Paragrafoelenco"/>
        <w:numPr>
          <w:ilvl w:val="0"/>
          <w:numId w:val="4"/>
        </w:numPr>
        <w:tabs>
          <w:tab w:val="left" w:pos="284"/>
        </w:tabs>
        <w:spacing w:after="0"/>
        <w:ind w:left="0" w:firstLine="0"/>
        <w:rPr>
          <w:rFonts w:ascii="DecimaWE Rg" w:hAnsi="DecimaWE Rg"/>
        </w:rPr>
      </w:pPr>
      <w:r w:rsidRPr="00344A13">
        <w:rPr>
          <w:rFonts w:ascii="DecimaWE Rg" w:hAnsi="DecimaWE Rg"/>
        </w:rPr>
        <w:lastRenderedPageBreak/>
        <w:t>la presa in carico attraverso la stesura e la stipula dei Patti di inclusione;</w:t>
      </w:r>
    </w:p>
    <w:p w:rsidR="00864514" w:rsidRPr="00344A13" w:rsidRDefault="00864514" w:rsidP="00864514">
      <w:pPr>
        <w:pStyle w:val="Paragrafoelenco"/>
        <w:tabs>
          <w:tab w:val="left" w:pos="284"/>
        </w:tabs>
        <w:spacing w:after="0"/>
        <w:ind w:left="0"/>
        <w:rPr>
          <w:rFonts w:ascii="DecimaWE Rg" w:hAnsi="DecimaWE Rg"/>
        </w:rPr>
      </w:pPr>
    </w:p>
    <w:p w:rsidR="004B2DA8" w:rsidRPr="00311C48" w:rsidRDefault="004B2DA8" w:rsidP="005C09EC">
      <w:pPr>
        <w:tabs>
          <w:tab w:val="left" w:pos="284"/>
        </w:tabs>
        <w:spacing w:after="0"/>
        <w:jc w:val="both"/>
        <w:rPr>
          <w:rFonts w:ascii="DecimaWE Rg" w:hAnsi="DecimaWE Rg"/>
        </w:rPr>
      </w:pPr>
      <w:r>
        <w:rPr>
          <w:rFonts w:ascii="DecimaWE Rg" w:hAnsi="DecimaWE Rg"/>
        </w:rPr>
        <w:t xml:space="preserve">Verrà inoltre riportato un quadro più complessivo relativamente al totale dei nuclei beneficiari raggiunti nell’intero periodo di sperimentazione (ottobre 2015 – dicembre 2017). </w:t>
      </w:r>
    </w:p>
    <w:p w:rsidR="004B2DA8" w:rsidRDefault="004B2DA8" w:rsidP="005C09EC">
      <w:pPr>
        <w:spacing w:after="0"/>
        <w:jc w:val="both"/>
        <w:rPr>
          <w:rFonts w:ascii="DecimaWE Rg" w:hAnsi="DecimaWE Rg"/>
        </w:rPr>
      </w:pPr>
      <w:r w:rsidRPr="00344A13">
        <w:rPr>
          <w:rFonts w:ascii="DecimaWE Rg" w:hAnsi="DecimaWE Rg"/>
        </w:rPr>
        <w:t>Si ricorda, come nota metodologica, che i dati qui analizzati sono tratti da software (SIMIA</w:t>
      </w:r>
      <w:r w:rsidRPr="00344A13">
        <w:rPr>
          <w:rStyle w:val="Rimandonotaapidipagina"/>
          <w:rFonts w:ascii="DecimaWE Rg" w:hAnsi="DecimaWE Rg"/>
        </w:rPr>
        <w:footnoteReference w:id="4"/>
      </w:r>
      <w:r w:rsidRPr="00344A13">
        <w:rPr>
          <w:rFonts w:ascii="DecimaWE Rg" w:hAnsi="DecimaWE Rg"/>
        </w:rPr>
        <w:t>, SIMIA CRM</w:t>
      </w:r>
      <w:r w:rsidRPr="00344A13">
        <w:rPr>
          <w:rStyle w:val="Rimandonotaapidipagina"/>
          <w:rFonts w:ascii="DecimaWE Rg" w:hAnsi="DecimaWE Rg"/>
        </w:rPr>
        <w:footnoteReference w:id="5"/>
      </w:r>
      <w:r w:rsidRPr="00344A13">
        <w:rPr>
          <w:rFonts w:ascii="DecimaWE Rg" w:hAnsi="DecimaWE Rg"/>
        </w:rPr>
        <w:t>) nati con funzione amministrativa/gestionale, che non registrano “lo storico” e risultano particolarmente sensibili alle modalità e tempistiche di estrazione delle informazioni. Non si tratta pertanto di dati statistici, ma di dati di natura amministrativa.</w:t>
      </w:r>
    </w:p>
    <w:p w:rsidR="004B2DA8" w:rsidRDefault="004B2DA8" w:rsidP="005C09EC">
      <w:pPr>
        <w:spacing w:after="0"/>
        <w:jc w:val="both"/>
        <w:rPr>
          <w:rFonts w:ascii="DecimaWE Rg" w:hAnsi="DecimaWE Rg"/>
        </w:rPr>
      </w:pPr>
      <w:r w:rsidRPr="00510896">
        <w:rPr>
          <w:rFonts w:ascii="DecimaWE Rg" w:hAnsi="DecimaWE Rg"/>
        </w:rPr>
        <w:t>Si evidenzia, infine, che nel presente documento non sono state moni</w:t>
      </w:r>
      <w:r w:rsidR="00864514">
        <w:rPr>
          <w:rFonts w:ascii="DecimaWE Rg" w:hAnsi="DecimaWE Rg"/>
        </w:rPr>
        <w:t>torate le domande di sola SIA e solo</w:t>
      </w:r>
      <w:r w:rsidRPr="00510896">
        <w:rPr>
          <w:rFonts w:ascii="DecimaWE Rg" w:hAnsi="DecimaWE Rg"/>
        </w:rPr>
        <w:t xml:space="preserve"> REI in quanto, essendo esclusivamente a carico dello Stato, sono gestite direttamente da INPS</w:t>
      </w:r>
      <w:r>
        <w:rPr>
          <w:rFonts w:ascii="DecimaWE Rg" w:hAnsi="DecimaWE Rg"/>
        </w:rPr>
        <w:t xml:space="preserve"> e non tracciate da</w:t>
      </w:r>
      <w:r w:rsidRPr="00510896">
        <w:rPr>
          <w:rFonts w:ascii="DecimaWE Rg" w:hAnsi="DecimaWE Rg"/>
        </w:rPr>
        <w:t>i sistemi regionali</w:t>
      </w:r>
      <w:r w:rsidR="00864514">
        <w:rPr>
          <w:rFonts w:ascii="DecimaWE Rg" w:hAnsi="DecimaWE Rg"/>
        </w:rPr>
        <w:t>, mentre verrà fatto solo accenno alle domande REI FVG che saranno oggetto di specifico monitoraggio</w:t>
      </w:r>
      <w:r w:rsidRPr="00510896">
        <w:rPr>
          <w:rFonts w:ascii="DecimaWE Rg" w:hAnsi="DecimaWE Rg"/>
        </w:rPr>
        <w:t>.</w:t>
      </w:r>
    </w:p>
    <w:p w:rsidR="004B2DA8" w:rsidRDefault="004B2DA8" w:rsidP="005C09EC">
      <w:pPr>
        <w:spacing w:after="0"/>
        <w:jc w:val="both"/>
        <w:rPr>
          <w:rFonts w:ascii="DecimaWE Rg" w:hAnsi="DecimaWE Rg"/>
        </w:rPr>
      </w:pPr>
    </w:p>
    <w:p w:rsidR="004B2DA8" w:rsidRDefault="004B2DA8" w:rsidP="005C09EC">
      <w:pPr>
        <w:spacing w:after="0"/>
        <w:jc w:val="both"/>
        <w:rPr>
          <w:rFonts w:ascii="DecimaWE Rg" w:hAnsi="DecimaWE Rg"/>
        </w:rPr>
      </w:pPr>
    </w:p>
    <w:p w:rsidR="004B2DA8" w:rsidRPr="0094643A" w:rsidRDefault="004B2DA8" w:rsidP="0094643A">
      <w:pPr>
        <w:pStyle w:val="Titolo1"/>
        <w:rPr>
          <w:rFonts w:ascii="DecimaWE Rg" w:hAnsi="DecimaWE Rg"/>
          <w:color w:val="000000" w:themeColor="text1"/>
          <w:sz w:val="22"/>
          <w:szCs w:val="22"/>
        </w:rPr>
      </w:pPr>
      <w:bookmarkStart w:id="1" w:name="_Toc534813287"/>
      <w:r w:rsidRPr="0094643A">
        <w:rPr>
          <w:rFonts w:ascii="DecimaWE Rg" w:hAnsi="DecimaWE Rg"/>
          <w:color w:val="000000" w:themeColor="text1"/>
          <w:sz w:val="22"/>
          <w:szCs w:val="22"/>
        </w:rPr>
        <w:t xml:space="preserve">1. </w:t>
      </w:r>
      <w:r w:rsidRPr="0094643A">
        <w:rPr>
          <w:rFonts w:ascii="DecimaWE Rg" w:hAnsi="DecimaWE Rg"/>
          <w:color w:val="000000" w:themeColor="text1"/>
          <w:sz w:val="22"/>
          <w:szCs w:val="22"/>
        </w:rPr>
        <w:tab/>
        <w:t>Le domande accolte e il loro andamento.</w:t>
      </w:r>
      <w:bookmarkEnd w:id="1"/>
    </w:p>
    <w:p w:rsidR="004B2DA8" w:rsidRPr="00344A13" w:rsidRDefault="004B2DA8" w:rsidP="005C09EC">
      <w:pPr>
        <w:pStyle w:val="Paragrafoelenco"/>
        <w:spacing w:after="0"/>
        <w:rPr>
          <w:rFonts w:ascii="DecimaWE Rg" w:hAnsi="DecimaWE Rg"/>
          <w:b/>
        </w:rPr>
      </w:pPr>
    </w:p>
    <w:p w:rsidR="004B2DA8" w:rsidRDefault="004B2DA8" w:rsidP="005C09EC">
      <w:pPr>
        <w:tabs>
          <w:tab w:val="left" w:pos="284"/>
        </w:tabs>
        <w:spacing w:after="0"/>
        <w:jc w:val="both"/>
        <w:rPr>
          <w:rFonts w:ascii="DecimaWE Rg" w:hAnsi="DecimaWE Rg"/>
        </w:rPr>
      </w:pPr>
      <w:r w:rsidRPr="00344A13">
        <w:rPr>
          <w:rFonts w:ascii="DecimaWE Rg" w:hAnsi="DecimaWE Rg"/>
        </w:rPr>
        <w:t xml:space="preserve">Complessivamente le </w:t>
      </w:r>
      <w:r w:rsidRPr="00F30BAD">
        <w:rPr>
          <w:rFonts w:ascii="DecimaWE Rg" w:hAnsi="DecimaWE Rg"/>
          <w:b/>
        </w:rPr>
        <w:t>domande presentate e registrate a sistema dal 01/01/2017</w:t>
      </w:r>
      <w:r w:rsidR="009A280A">
        <w:rPr>
          <w:rFonts w:ascii="DecimaWE Rg" w:hAnsi="DecimaWE Rg"/>
          <w:b/>
        </w:rPr>
        <w:t xml:space="preserve"> al 31/12/2017 sono state 11.154</w:t>
      </w:r>
      <w:r>
        <w:rPr>
          <w:rFonts w:ascii="DecimaWE Rg" w:hAnsi="DecimaWE Rg"/>
        </w:rPr>
        <w:t>, di cui:</w:t>
      </w:r>
    </w:p>
    <w:p w:rsidR="004B2DA8" w:rsidRPr="00863A32" w:rsidRDefault="004B2DA8" w:rsidP="00E94D78">
      <w:pPr>
        <w:pStyle w:val="Paragrafoelenco"/>
        <w:numPr>
          <w:ilvl w:val="0"/>
          <w:numId w:val="9"/>
        </w:numPr>
        <w:tabs>
          <w:tab w:val="left" w:pos="284"/>
        </w:tabs>
        <w:spacing w:after="0"/>
        <w:jc w:val="both"/>
        <w:rPr>
          <w:rFonts w:ascii="DecimaWE Rg" w:hAnsi="DecimaWE Rg"/>
        </w:rPr>
      </w:pPr>
      <w:r w:rsidRPr="00863A32">
        <w:rPr>
          <w:rFonts w:ascii="DecimaWE Rg" w:hAnsi="DecimaWE Rg"/>
        </w:rPr>
        <w:t>9.855 sono domande di MIA, di queste 6.450 risultano domande di rinnovo della misura</w:t>
      </w:r>
      <w:r>
        <w:rPr>
          <w:rStyle w:val="Rimandonotaapidipagina"/>
          <w:rFonts w:ascii="DecimaWE Rg" w:hAnsi="DecimaWE Rg"/>
        </w:rPr>
        <w:footnoteReference w:id="6"/>
      </w:r>
      <w:r w:rsidRPr="00863A32">
        <w:rPr>
          <w:rFonts w:ascii="DecimaWE Rg" w:hAnsi="DecimaWE Rg"/>
        </w:rPr>
        <w:t>;</w:t>
      </w:r>
    </w:p>
    <w:p w:rsidR="00F03EB3" w:rsidRPr="00E94D78" w:rsidRDefault="004B2DA8" w:rsidP="00E94D78">
      <w:pPr>
        <w:pStyle w:val="Paragrafoelenco"/>
        <w:numPr>
          <w:ilvl w:val="0"/>
          <w:numId w:val="9"/>
        </w:numPr>
        <w:spacing w:after="0"/>
        <w:jc w:val="both"/>
        <w:rPr>
          <w:rFonts w:ascii="DecimaWE Rg" w:hAnsi="DecimaWE Rg"/>
        </w:rPr>
      </w:pPr>
      <w:r w:rsidRPr="00E94D78">
        <w:rPr>
          <w:rFonts w:ascii="DecimaWE Rg" w:hAnsi="DecimaWE Rg"/>
        </w:rPr>
        <w:t>1.299 sono domande congiunte di SIA e MIA, presentate sia da nuclei che accedevano per la prima volta al beneficio nazionale e regionale, soddisfacendo i criteri di accesso per entrambe le misure, sia da nuclei che hanno presentato la domanda di rinnovo della misura regionale</w:t>
      </w:r>
      <w:r w:rsidRPr="00E94D78">
        <w:rPr>
          <w:rFonts w:ascii="DecimaWE Rg" w:hAnsi="DecimaWE Rg"/>
          <w:shd w:val="clear" w:color="auto" w:fill="FFFFFF"/>
        </w:rPr>
        <w:t xml:space="preserve"> (732 domande di rinnovo) </w:t>
      </w:r>
      <w:r w:rsidRPr="00E94D78">
        <w:rPr>
          <w:rFonts w:ascii="DecimaWE Rg" w:hAnsi="DecimaWE Rg"/>
        </w:rPr>
        <w:t>congiuntamente al primo accesso a quella nazionale</w:t>
      </w:r>
      <w:r>
        <w:rPr>
          <w:rStyle w:val="Rimandonotaapidipagina"/>
          <w:rFonts w:ascii="DecimaWE Rg" w:hAnsi="DecimaWE Rg"/>
        </w:rPr>
        <w:footnoteReference w:id="7"/>
      </w:r>
      <w:r w:rsidR="00F03EB3" w:rsidRPr="00E94D78">
        <w:rPr>
          <w:rFonts w:ascii="DecimaWE Rg" w:hAnsi="DecimaWE Rg"/>
        </w:rPr>
        <w:t>. La misura nazionale SIA ha interessato una quota ridotta del tot</w:t>
      </w:r>
      <w:r w:rsidR="00E94D78" w:rsidRPr="00E94D78">
        <w:rPr>
          <w:rFonts w:ascii="DecimaWE Rg" w:hAnsi="DecimaWE Rg"/>
        </w:rPr>
        <w:t>ale dei beneficiari delle misure</w:t>
      </w:r>
      <w:r w:rsidR="00F03EB3" w:rsidRPr="00E94D78">
        <w:rPr>
          <w:rFonts w:ascii="DecimaWE Rg" w:hAnsi="DecimaWE Rg"/>
        </w:rPr>
        <w:t xml:space="preserve"> di sostegno al reddito in Friuli Venezia Giulia monitorati nell’anno (circa il 13%), coerentemente con i criteri di accesso più restrittivi che il SIA prevedeva rispetto alla MIA. </w:t>
      </w:r>
    </w:p>
    <w:p w:rsidR="00864514" w:rsidRDefault="00864514" w:rsidP="00864514">
      <w:pPr>
        <w:pStyle w:val="Paragrafoelenco"/>
        <w:tabs>
          <w:tab w:val="left" w:pos="284"/>
        </w:tabs>
        <w:spacing w:after="0"/>
        <w:ind w:left="0"/>
        <w:jc w:val="both"/>
        <w:rPr>
          <w:rFonts w:ascii="DecimaWE Rg" w:hAnsi="DecimaWE Rg"/>
        </w:rPr>
      </w:pPr>
    </w:p>
    <w:p w:rsidR="004B2DA8" w:rsidRPr="004F1783" w:rsidRDefault="00864514" w:rsidP="00864514">
      <w:pPr>
        <w:pStyle w:val="Paragrafoelenco"/>
        <w:tabs>
          <w:tab w:val="left" w:pos="284"/>
        </w:tabs>
        <w:spacing w:after="0"/>
        <w:ind w:left="0"/>
        <w:jc w:val="both"/>
        <w:rPr>
          <w:rFonts w:ascii="DecimaWE Rg" w:hAnsi="DecimaWE Rg"/>
        </w:rPr>
      </w:pPr>
      <w:r>
        <w:rPr>
          <w:rFonts w:ascii="DecimaWE Rg" w:hAnsi="DecimaWE Rg"/>
        </w:rPr>
        <w:t xml:space="preserve">A queste </w:t>
      </w:r>
      <w:r w:rsidR="00F03EB3">
        <w:rPr>
          <w:rFonts w:ascii="DecimaWE Rg" w:hAnsi="DecimaWE Rg"/>
        </w:rPr>
        <w:t xml:space="preserve">domande </w:t>
      </w:r>
      <w:r>
        <w:rPr>
          <w:rFonts w:ascii="DecimaWE Rg" w:hAnsi="DecimaWE Rg"/>
        </w:rPr>
        <w:t xml:space="preserve">si aggiungono nell’ultimo periodo (dal 01/01/2017 al 31/12/2017) 164 </w:t>
      </w:r>
      <w:r w:rsidR="004B2DA8" w:rsidRPr="004F1783">
        <w:rPr>
          <w:rFonts w:ascii="DecimaWE Rg" w:hAnsi="DecimaWE Rg"/>
        </w:rPr>
        <w:t>domande di Reddito di Inclusione (REI) con richiesta di riconoscimento delle integrazioni regionali previste dalla LR 35/2017 (REI FVG)</w:t>
      </w:r>
      <w:r w:rsidR="004B2DA8">
        <w:rPr>
          <w:rStyle w:val="Rimandonotaapidipagina"/>
          <w:rFonts w:ascii="DecimaWE Rg" w:hAnsi="DecimaWE Rg"/>
        </w:rPr>
        <w:footnoteReference w:id="8"/>
      </w:r>
      <w:r w:rsidR="004B2DA8" w:rsidRPr="004F1783">
        <w:rPr>
          <w:rFonts w:ascii="DecimaWE Rg" w:hAnsi="DecimaWE Rg"/>
        </w:rPr>
        <w:t>.</w:t>
      </w:r>
    </w:p>
    <w:p w:rsidR="004B2DA8" w:rsidRDefault="004B2DA8" w:rsidP="005C09EC">
      <w:pPr>
        <w:spacing w:after="0"/>
        <w:jc w:val="both"/>
        <w:rPr>
          <w:rFonts w:ascii="DecimaWE Rg" w:hAnsi="DecimaWE Rg"/>
        </w:rPr>
      </w:pPr>
    </w:p>
    <w:p w:rsidR="004B2DA8" w:rsidRDefault="004B2DA8" w:rsidP="005C09EC">
      <w:pPr>
        <w:spacing w:after="0"/>
        <w:jc w:val="both"/>
        <w:rPr>
          <w:rFonts w:ascii="DecimaWE Rg" w:hAnsi="DecimaWE Rg"/>
        </w:rPr>
      </w:pPr>
      <w:r w:rsidRPr="001F4E2D">
        <w:rPr>
          <w:rFonts w:ascii="DecimaWE Rg" w:hAnsi="DecimaWE Rg"/>
        </w:rPr>
        <w:t>Nel complesso, le</w:t>
      </w:r>
      <w:r w:rsidRPr="00344A13">
        <w:rPr>
          <w:rFonts w:ascii="DecimaWE Rg" w:hAnsi="DecimaWE Rg"/>
        </w:rPr>
        <w:t xml:space="preserve"> </w:t>
      </w:r>
      <w:r w:rsidRPr="004F3A46">
        <w:rPr>
          <w:rFonts w:ascii="DecimaWE Rg" w:hAnsi="DecimaWE Rg"/>
        </w:rPr>
        <w:t>d</w:t>
      </w:r>
      <w:r w:rsidR="00F03EB3">
        <w:rPr>
          <w:rFonts w:ascii="DecimaWE Rg" w:hAnsi="DecimaWE Rg"/>
        </w:rPr>
        <w:t>omande</w:t>
      </w:r>
      <w:r w:rsidRPr="004C4797">
        <w:rPr>
          <w:rFonts w:ascii="DecimaWE Rg" w:hAnsi="DecimaWE Rg"/>
        </w:rPr>
        <w:t xml:space="preserve"> </w:t>
      </w:r>
      <w:r w:rsidRPr="004F3A46">
        <w:rPr>
          <w:rFonts w:ascii="DecimaWE Rg" w:hAnsi="DecimaWE Rg"/>
        </w:rPr>
        <w:t xml:space="preserve">registrate nel corso del 2017 presentano un andamento (Graf. 1) che evidenzia un maggior afflusso nei mesi compresi tra febbraio e maggio, probabilmente per l’effetto </w:t>
      </w:r>
      <w:r w:rsidRPr="001F4E2D">
        <w:rPr>
          <w:rFonts w:ascii="DecimaWE Rg" w:hAnsi="DecimaWE Rg"/>
        </w:rPr>
        <w:t>dell’aggiornamento degli ISEE che hanno scadenza unificata al 15</w:t>
      </w:r>
      <w:r w:rsidRPr="004F3A46">
        <w:rPr>
          <w:rFonts w:ascii="DecimaWE Rg" w:hAnsi="DecimaWE Rg"/>
        </w:rPr>
        <w:t xml:space="preserve"> gennaio di ogni anno.</w:t>
      </w:r>
      <w:r>
        <w:rPr>
          <w:rFonts w:ascii="DecimaWE Rg" w:hAnsi="DecimaWE Rg"/>
        </w:rPr>
        <w:t xml:space="preserve"> La distribuzione territoriale (Graf. 2) continua invece a evidenziare, coerentemente con il primo periodo di sperimentazione, un maggior impatto della misura nei territori delle UTI Giuliana e del Friuli Centrale, sia in termini di numero di domande presentate, che di incidenza delle stesse rispetto alla popolazione di riferimento (si concentrano in questi territori rispettivamente il 30% e 20% delle dom</w:t>
      </w:r>
      <w:r w:rsidR="00F03EB3">
        <w:rPr>
          <w:rFonts w:ascii="DecimaWE Rg" w:hAnsi="DecimaWE Rg"/>
        </w:rPr>
        <w:t>ande, registrando mediamente 146 e 133</w:t>
      </w:r>
      <w:r>
        <w:rPr>
          <w:rFonts w:ascii="DecimaWE Rg" w:hAnsi="DecimaWE Rg"/>
        </w:rPr>
        <w:t xml:space="preserve"> domande ogni 10.000 abitanti). L’incidenza </w:t>
      </w:r>
      <w:r>
        <w:rPr>
          <w:rFonts w:ascii="DecimaWE Rg" w:hAnsi="DecimaWE Rg"/>
        </w:rPr>
        <w:lastRenderedPageBreak/>
        <w:t xml:space="preserve">rispetto alla popolazione di riferimento risulta particolarmente significativa anche </w:t>
      </w:r>
      <w:r w:rsidR="00F03EB3">
        <w:rPr>
          <w:rFonts w:ascii="DecimaWE Rg" w:hAnsi="DecimaWE Rg"/>
        </w:rPr>
        <w:t>ne</w:t>
      </w:r>
      <w:r>
        <w:rPr>
          <w:rFonts w:ascii="DecimaWE Rg" w:hAnsi="DecimaWE Rg"/>
        </w:rPr>
        <w:t xml:space="preserve">lle UTI Collio Alto Isonzo e Carso Isonzo Adriatico, dove si superano le 100 domande ogni 10.000 abitanti. </w:t>
      </w:r>
    </w:p>
    <w:p w:rsidR="0094643A" w:rsidRDefault="0094643A" w:rsidP="005C09EC">
      <w:pPr>
        <w:spacing w:after="0"/>
        <w:jc w:val="both"/>
        <w:rPr>
          <w:rFonts w:ascii="DecimaWE Rg" w:hAnsi="DecimaWE Rg"/>
        </w:rPr>
      </w:pPr>
    </w:p>
    <w:p w:rsidR="004B2DA8" w:rsidRDefault="004B2DA8" w:rsidP="005C09EC">
      <w:pPr>
        <w:spacing w:after="0" w:line="240" w:lineRule="auto"/>
        <w:jc w:val="both"/>
        <w:rPr>
          <w:rFonts w:ascii="DecimaWE Rg" w:hAnsi="DecimaWE Rg"/>
          <w:i/>
          <w:sz w:val="20"/>
        </w:rPr>
      </w:pPr>
      <w:r w:rsidRPr="00344A13">
        <w:rPr>
          <w:rFonts w:ascii="DecimaWE Rg" w:hAnsi="DecimaWE Rg"/>
          <w:i/>
          <w:sz w:val="20"/>
        </w:rPr>
        <w:t xml:space="preserve">Graf. 1 – Andamento domande MIA e </w:t>
      </w:r>
      <w:r>
        <w:rPr>
          <w:rFonts w:ascii="DecimaWE Rg" w:hAnsi="DecimaWE Rg"/>
          <w:i/>
          <w:sz w:val="20"/>
        </w:rPr>
        <w:t>MIA+</w:t>
      </w:r>
      <w:r w:rsidRPr="00344A13">
        <w:rPr>
          <w:rFonts w:ascii="DecimaWE Rg" w:hAnsi="DecimaWE Rg"/>
          <w:i/>
          <w:sz w:val="20"/>
        </w:rPr>
        <w:t>SIA</w:t>
      </w:r>
      <w:r>
        <w:rPr>
          <w:rFonts w:ascii="DecimaWE Rg" w:hAnsi="DecimaWE Rg"/>
          <w:i/>
          <w:sz w:val="20"/>
        </w:rPr>
        <w:t xml:space="preserve"> e REI FVG</w:t>
      </w:r>
      <w:r w:rsidRPr="00344A13">
        <w:rPr>
          <w:rFonts w:ascii="DecimaWE Rg" w:hAnsi="DecimaWE Rg"/>
          <w:i/>
          <w:sz w:val="20"/>
        </w:rPr>
        <w:t xml:space="preserve"> registrate a sistema (SIMIA) per mensilità di presentazione da </w:t>
      </w:r>
      <w:r>
        <w:rPr>
          <w:rFonts w:ascii="DecimaWE Rg" w:hAnsi="DecimaWE Rg"/>
          <w:i/>
          <w:sz w:val="20"/>
        </w:rPr>
        <w:t xml:space="preserve">gennaio </w:t>
      </w:r>
      <w:r w:rsidRPr="00344A13">
        <w:rPr>
          <w:rFonts w:ascii="DecimaWE Rg" w:hAnsi="DecimaWE Rg"/>
          <w:i/>
          <w:sz w:val="20"/>
        </w:rPr>
        <w:t>a dicembre 201</w:t>
      </w:r>
      <w:r>
        <w:rPr>
          <w:rFonts w:ascii="DecimaWE Rg" w:hAnsi="DecimaWE Rg"/>
          <w:i/>
          <w:sz w:val="20"/>
        </w:rPr>
        <w:t>7</w:t>
      </w:r>
      <w:r w:rsidRPr="00344A13">
        <w:rPr>
          <w:rFonts w:ascii="DecimaWE Rg" w:hAnsi="DecimaWE Rg"/>
          <w:i/>
          <w:sz w:val="20"/>
        </w:rPr>
        <w:t>.</w:t>
      </w:r>
    </w:p>
    <w:p w:rsidR="004B2DA8" w:rsidRDefault="009F6CA2" w:rsidP="005C09EC">
      <w:pPr>
        <w:spacing w:after="0" w:line="240" w:lineRule="auto"/>
        <w:jc w:val="both"/>
        <w:rPr>
          <w:rFonts w:ascii="DecimaWE Rg" w:hAnsi="DecimaWE Rg"/>
          <w:i/>
          <w:sz w:val="20"/>
        </w:rPr>
      </w:pPr>
      <w:r>
        <w:rPr>
          <w:rFonts w:ascii="DecimaWE Rg" w:hAnsi="DecimaWE Rg"/>
          <w:i/>
          <w:noProof/>
          <w:sz w:val="20"/>
          <w:lang w:eastAsia="it-IT"/>
        </w:rPr>
        <w:drawing>
          <wp:inline distT="0" distB="0" distL="0" distR="0" wp14:anchorId="1168FFF8" wp14:editId="0430813F">
            <wp:extent cx="6003290" cy="214693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3290" cy="2146935"/>
                    </a:xfrm>
                    <a:prstGeom prst="rect">
                      <a:avLst/>
                    </a:prstGeom>
                    <a:noFill/>
                    <a:ln>
                      <a:noFill/>
                    </a:ln>
                  </pic:spPr>
                </pic:pic>
              </a:graphicData>
            </a:graphic>
          </wp:inline>
        </w:drawing>
      </w:r>
    </w:p>
    <w:p w:rsidR="004B2DA8" w:rsidRDefault="004B2DA8" w:rsidP="005C09EC">
      <w:pPr>
        <w:spacing w:after="0"/>
        <w:jc w:val="both"/>
        <w:rPr>
          <w:rFonts w:ascii="DecimaWE Rg" w:hAnsi="DecimaWE Rg"/>
          <w:i/>
          <w:sz w:val="18"/>
        </w:rPr>
      </w:pPr>
      <w:r w:rsidRPr="00344A13">
        <w:rPr>
          <w:rFonts w:ascii="DecimaWE Rg" w:hAnsi="DecimaWE Rg"/>
          <w:i/>
          <w:sz w:val="18"/>
        </w:rPr>
        <w:t>Fonte: SIMIA</w:t>
      </w:r>
      <w:r>
        <w:rPr>
          <w:rFonts w:ascii="DecimaWE Rg" w:hAnsi="DecimaWE Rg"/>
          <w:i/>
          <w:sz w:val="18"/>
        </w:rPr>
        <w:t xml:space="preserve"> – domande registrate </w:t>
      </w:r>
      <w:r w:rsidRPr="00C012F4">
        <w:rPr>
          <w:rFonts w:ascii="DecimaWE Rg" w:hAnsi="DecimaWE Rg"/>
          <w:i/>
          <w:sz w:val="18"/>
        </w:rPr>
        <w:t>dal 01/01/2017 al 31/12/2017</w:t>
      </w:r>
      <w:r>
        <w:rPr>
          <w:rFonts w:ascii="DecimaWE Rg" w:hAnsi="DecimaWE Rg"/>
          <w:i/>
          <w:sz w:val="18"/>
        </w:rPr>
        <w:t xml:space="preserve">, estrazione dati al </w:t>
      </w:r>
      <w:r w:rsidRPr="00851D71">
        <w:rPr>
          <w:rFonts w:ascii="DecimaWE Rg" w:hAnsi="DecimaWE Rg"/>
          <w:i/>
          <w:sz w:val="18"/>
        </w:rPr>
        <w:t>21/05/2018.</w:t>
      </w:r>
      <w:r>
        <w:rPr>
          <w:rFonts w:ascii="DecimaWE Rg" w:hAnsi="DecimaWE Rg"/>
          <w:i/>
          <w:sz w:val="18"/>
        </w:rPr>
        <w:t xml:space="preserve"> </w:t>
      </w:r>
    </w:p>
    <w:p w:rsidR="004B2DA8" w:rsidRDefault="004B2DA8" w:rsidP="005C09EC">
      <w:pPr>
        <w:spacing w:after="0" w:line="240" w:lineRule="auto"/>
        <w:jc w:val="both"/>
        <w:rPr>
          <w:rFonts w:ascii="DecimaWE Rg" w:hAnsi="DecimaWE Rg"/>
          <w:i/>
          <w:sz w:val="20"/>
        </w:rPr>
      </w:pPr>
    </w:p>
    <w:p w:rsidR="004B2DA8" w:rsidRDefault="004B2DA8" w:rsidP="005C09EC">
      <w:pPr>
        <w:spacing w:after="0" w:line="240" w:lineRule="auto"/>
        <w:jc w:val="both"/>
        <w:rPr>
          <w:rFonts w:ascii="DecimaWE Rg" w:hAnsi="DecimaWE Rg"/>
          <w:i/>
          <w:sz w:val="20"/>
        </w:rPr>
      </w:pPr>
      <w:r>
        <w:rPr>
          <w:rFonts w:ascii="DecimaWE Rg" w:hAnsi="DecimaWE Rg"/>
          <w:i/>
          <w:sz w:val="20"/>
        </w:rPr>
        <w:t>Graf. 2 – Distribuzione</w:t>
      </w:r>
      <w:r w:rsidRPr="00344A13">
        <w:rPr>
          <w:rFonts w:ascii="DecimaWE Rg" w:hAnsi="DecimaWE Rg"/>
          <w:i/>
          <w:sz w:val="20"/>
        </w:rPr>
        <w:t xml:space="preserve"> </w:t>
      </w:r>
      <w:r>
        <w:rPr>
          <w:rFonts w:ascii="DecimaWE Rg" w:hAnsi="DecimaWE Rg"/>
          <w:i/>
          <w:sz w:val="20"/>
        </w:rPr>
        <w:t xml:space="preserve">per UTI delle </w:t>
      </w:r>
      <w:r w:rsidRPr="00344A13">
        <w:rPr>
          <w:rFonts w:ascii="DecimaWE Rg" w:hAnsi="DecimaWE Rg"/>
          <w:i/>
          <w:sz w:val="20"/>
        </w:rPr>
        <w:t xml:space="preserve">domande MIA e </w:t>
      </w:r>
      <w:r>
        <w:rPr>
          <w:rFonts w:ascii="DecimaWE Rg" w:hAnsi="DecimaWE Rg"/>
          <w:i/>
          <w:sz w:val="20"/>
        </w:rPr>
        <w:t>MIA+</w:t>
      </w:r>
      <w:r w:rsidRPr="00344A13">
        <w:rPr>
          <w:rFonts w:ascii="DecimaWE Rg" w:hAnsi="DecimaWE Rg"/>
          <w:i/>
          <w:sz w:val="20"/>
        </w:rPr>
        <w:t>SIA</w:t>
      </w:r>
      <w:r>
        <w:rPr>
          <w:rFonts w:ascii="DecimaWE Rg" w:hAnsi="DecimaWE Rg"/>
          <w:i/>
          <w:sz w:val="20"/>
        </w:rPr>
        <w:t xml:space="preserve"> e REI FVG</w:t>
      </w:r>
      <w:r w:rsidRPr="00344A13">
        <w:rPr>
          <w:rFonts w:ascii="DecimaWE Rg" w:hAnsi="DecimaWE Rg"/>
          <w:i/>
          <w:sz w:val="20"/>
        </w:rPr>
        <w:t xml:space="preserve"> registrate</w:t>
      </w:r>
      <w:r>
        <w:rPr>
          <w:rFonts w:ascii="DecimaWE Rg" w:hAnsi="DecimaWE Rg"/>
          <w:i/>
          <w:sz w:val="20"/>
        </w:rPr>
        <w:t xml:space="preserve"> a sistema (SIMIA) </w:t>
      </w:r>
      <w:r w:rsidRPr="00344A13">
        <w:rPr>
          <w:rFonts w:ascii="DecimaWE Rg" w:hAnsi="DecimaWE Rg"/>
          <w:i/>
          <w:sz w:val="20"/>
        </w:rPr>
        <w:t xml:space="preserve">da </w:t>
      </w:r>
      <w:r>
        <w:rPr>
          <w:rFonts w:ascii="DecimaWE Rg" w:hAnsi="DecimaWE Rg"/>
          <w:i/>
          <w:sz w:val="20"/>
        </w:rPr>
        <w:t xml:space="preserve">gennaio </w:t>
      </w:r>
      <w:r w:rsidRPr="00344A13">
        <w:rPr>
          <w:rFonts w:ascii="DecimaWE Rg" w:hAnsi="DecimaWE Rg"/>
          <w:i/>
          <w:sz w:val="20"/>
        </w:rPr>
        <w:t>a dicembre 201</w:t>
      </w:r>
      <w:r>
        <w:rPr>
          <w:rFonts w:ascii="DecimaWE Rg" w:hAnsi="DecimaWE Rg"/>
          <w:i/>
          <w:sz w:val="20"/>
        </w:rPr>
        <w:t>7 e incidenza ogni 10.000 abitanti.</w:t>
      </w:r>
    </w:p>
    <w:p w:rsidR="004B2DA8" w:rsidRDefault="009F6CA2" w:rsidP="005C09EC">
      <w:pPr>
        <w:spacing w:after="0" w:line="240" w:lineRule="auto"/>
        <w:jc w:val="both"/>
        <w:rPr>
          <w:rFonts w:ascii="DecimaWE Rg" w:hAnsi="DecimaWE Rg"/>
          <w:i/>
          <w:sz w:val="20"/>
        </w:rPr>
      </w:pPr>
      <w:r>
        <w:rPr>
          <w:rFonts w:ascii="DecimaWE Rg" w:hAnsi="DecimaWE Rg"/>
          <w:noProof/>
          <w:lang w:eastAsia="it-IT"/>
        </w:rPr>
        <w:drawing>
          <wp:inline distT="0" distB="0" distL="0" distR="0" wp14:anchorId="53DB118C" wp14:editId="163D0287">
            <wp:extent cx="6082665" cy="2854325"/>
            <wp:effectExtent l="0" t="0" r="0" b="0"/>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2665" cy="2854325"/>
                    </a:xfrm>
                    <a:prstGeom prst="rect">
                      <a:avLst/>
                    </a:prstGeom>
                    <a:noFill/>
                    <a:ln>
                      <a:noFill/>
                    </a:ln>
                  </pic:spPr>
                </pic:pic>
              </a:graphicData>
            </a:graphic>
          </wp:inline>
        </w:drawing>
      </w:r>
    </w:p>
    <w:p w:rsidR="004B2DA8" w:rsidRDefault="004B2DA8" w:rsidP="005C09EC">
      <w:pPr>
        <w:spacing w:after="0"/>
        <w:jc w:val="both"/>
        <w:rPr>
          <w:rFonts w:ascii="DecimaWE Rg" w:hAnsi="DecimaWE Rg"/>
          <w:i/>
          <w:sz w:val="18"/>
        </w:rPr>
      </w:pPr>
      <w:r w:rsidRPr="00391D39">
        <w:rPr>
          <w:rFonts w:ascii="DecimaWE Rg" w:hAnsi="DecimaWE Rg"/>
          <w:i/>
          <w:sz w:val="18"/>
        </w:rPr>
        <w:t>Fonte: SIMIA – domande registrate dal 01/01/2017 al 31/12/2017, estrazione dati al 21/05/2018.</w:t>
      </w:r>
      <w:r>
        <w:rPr>
          <w:rFonts w:ascii="DecimaWE Rg" w:hAnsi="DecimaWE Rg"/>
          <w:i/>
          <w:sz w:val="18"/>
        </w:rPr>
        <w:t xml:space="preserve"> </w:t>
      </w:r>
    </w:p>
    <w:p w:rsidR="004B2DA8" w:rsidRDefault="004B2DA8" w:rsidP="005C09EC">
      <w:pPr>
        <w:tabs>
          <w:tab w:val="left" w:pos="284"/>
        </w:tabs>
        <w:spacing w:after="0"/>
        <w:jc w:val="both"/>
        <w:rPr>
          <w:rFonts w:ascii="DecimaWE Rg" w:hAnsi="DecimaWE Rg"/>
        </w:rPr>
      </w:pPr>
    </w:p>
    <w:p w:rsidR="004B2DA8" w:rsidRDefault="00F03EB3" w:rsidP="005C09EC">
      <w:pPr>
        <w:tabs>
          <w:tab w:val="left" w:pos="284"/>
        </w:tabs>
        <w:spacing w:after="0"/>
        <w:jc w:val="both"/>
        <w:rPr>
          <w:rFonts w:ascii="DecimaWE Rg" w:hAnsi="DecimaWE Rg"/>
        </w:rPr>
      </w:pPr>
      <w:r>
        <w:rPr>
          <w:rFonts w:ascii="DecimaWE Rg" w:hAnsi="DecimaWE Rg"/>
        </w:rPr>
        <w:t>Delle 11.154</w:t>
      </w:r>
      <w:r w:rsidR="004B2DA8">
        <w:rPr>
          <w:rFonts w:ascii="DecimaWE Rg" w:hAnsi="DecimaWE Rg"/>
        </w:rPr>
        <w:t xml:space="preserve"> domande</w:t>
      </w:r>
      <w:r>
        <w:rPr>
          <w:rFonts w:ascii="DecimaWE Rg" w:hAnsi="DecimaWE Rg"/>
        </w:rPr>
        <w:t xml:space="preserve"> MIA e MIA+SIA</w:t>
      </w:r>
      <w:r w:rsidR="004B2DA8">
        <w:rPr>
          <w:rFonts w:ascii="DecimaWE Rg" w:hAnsi="DecimaWE Rg"/>
        </w:rPr>
        <w:t xml:space="preserve"> monitorate, 9.552 risultano avere almeno un pagamento registrato a sistema alla data del 21/05/2017 (8.453 domande di MIA e 1.099 domande di SIA e MIA), per </w:t>
      </w:r>
      <w:r w:rsidR="004B2DA8" w:rsidRPr="00F30BAD">
        <w:rPr>
          <w:rFonts w:ascii="DecimaWE Rg" w:hAnsi="DecimaWE Rg"/>
          <w:b/>
        </w:rPr>
        <w:t>complessivi 9.522</w:t>
      </w:r>
      <w:r w:rsidR="004B2DA8">
        <w:rPr>
          <w:rStyle w:val="Rimandonotaapidipagina"/>
          <w:rFonts w:ascii="DecimaWE Rg" w:hAnsi="DecimaWE Rg"/>
        </w:rPr>
        <w:footnoteReference w:id="9"/>
      </w:r>
      <w:r w:rsidR="004B2DA8" w:rsidRPr="00F30BAD">
        <w:rPr>
          <w:rFonts w:ascii="DecimaWE Rg" w:hAnsi="DecimaWE Rg"/>
          <w:b/>
        </w:rPr>
        <w:t xml:space="preserve"> nuclei beneficiari</w:t>
      </w:r>
      <w:r w:rsidR="004B2DA8" w:rsidRPr="00E237E4">
        <w:rPr>
          <w:rStyle w:val="Rimandonotaapidipagina"/>
          <w:rFonts w:ascii="DecimaWE Rg" w:hAnsi="DecimaWE Rg"/>
        </w:rPr>
        <w:footnoteReference w:id="10"/>
      </w:r>
      <w:r w:rsidR="004B2DA8">
        <w:rPr>
          <w:rFonts w:ascii="DecimaWE Rg" w:hAnsi="DecimaWE Rg"/>
        </w:rPr>
        <w:t xml:space="preserve"> delle misure</w:t>
      </w:r>
      <w:r w:rsidR="004B2DA8">
        <w:rPr>
          <w:rStyle w:val="Rimandonotaapidipagina"/>
          <w:rFonts w:ascii="DecimaWE Rg" w:hAnsi="DecimaWE Rg"/>
        </w:rPr>
        <w:footnoteReference w:id="11"/>
      </w:r>
      <w:r w:rsidR="004B2DA8">
        <w:rPr>
          <w:rFonts w:ascii="DecimaWE Rg" w:hAnsi="DecimaWE Rg"/>
        </w:rPr>
        <w:t xml:space="preserve">. </w:t>
      </w:r>
    </w:p>
    <w:p w:rsidR="004B2DA8" w:rsidRDefault="004B2DA8" w:rsidP="005C09EC">
      <w:pPr>
        <w:tabs>
          <w:tab w:val="left" w:pos="284"/>
        </w:tabs>
        <w:spacing w:after="0"/>
        <w:jc w:val="both"/>
        <w:rPr>
          <w:rFonts w:ascii="DecimaWE Rg" w:hAnsi="DecimaWE Rg"/>
        </w:rPr>
      </w:pPr>
      <w:r w:rsidRPr="004F3A46">
        <w:rPr>
          <w:rFonts w:ascii="DecimaWE Rg" w:hAnsi="DecimaWE Rg"/>
        </w:rPr>
        <w:t>Il dato relativo alle domande pagate e conseguentemente ai nuclei beneficiari risulta al momento della presente rilevazione ancora lievemente sottodimensio</w:t>
      </w:r>
      <w:r>
        <w:rPr>
          <w:rFonts w:ascii="DecimaWE Rg" w:hAnsi="DecimaWE Rg"/>
        </w:rPr>
        <w:t>nato per ragioni imputabili a</w:t>
      </w:r>
      <w:r w:rsidRPr="004F3A46">
        <w:rPr>
          <w:rFonts w:ascii="DecimaWE Rg" w:hAnsi="DecimaWE Rg"/>
        </w:rPr>
        <w:t xml:space="preserve"> rallentamenti nelle procedure di registrazione delle liquidazioni effettuate dai SSC (con particolare riferimento alle domande presentate negli </w:t>
      </w:r>
      <w:r w:rsidRPr="004F3A46">
        <w:rPr>
          <w:rFonts w:ascii="DecimaWE Rg" w:hAnsi="DecimaWE Rg"/>
        </w:rPr>
        <w:lastRenderedPageBreak/>
        <w:t>ultimi mesi dell’anno) che comportano il non perfetto allineamento del sistema SIMIA con la situazione dei pagamenti realmente effettuati</w:t>
      </w:r>
      <w:r>
        <w:rPr>
          <w:rFonts w:ascii="DecimaWE Rg" w:hAnsi="DecimaWE Rg"/>
        </w:rPr>
        <w:t>.</w:t>
      </w:r>
    </w:p>
    <w:p w:rsidR="0094643A" w:rsidRDefault="0094643A" w:rsidP="005C09EC">
      <w:pPr>
        <w:tabs>
          <w:tab w:val="left" w:pos="284"/>
        </w:tabs>
        <w:spacing w:after="0"/>
        <w:jc w:val="both"/>
        <w:rPr>
          <w:rFonts w:ascii="DecimaWE Rg" w:hAnsi="DecimaWE Rg"/>
        </w:rPr>
      </w:pPr>
    </w:p>
    <w:p w:rsidR="004B2DA8" w:rsidRPr="0094643A" w:rsidRDefault="004B2DA8" w:rsidP="0094643A">
      <w:pPr>
        <w:pStyle w:val="Titolo1"/>
        <w:rPr>
          <w:rFonts w:ascii="DecimaWE Rg" w:hAnsi="DecimaWE Rg"/>
          <w:color w:val="000000" w:themeColor="text1"/>
          <w:sz w:val="22"/>
          <w:szCs w:val="22"/>
        </w:rPr>
      </w:pPr>
      <w:bookmarkStart w:id="2" w:name="_Toc534813288"/>
      <w:r w:rsidRPr="0094643A">
        <w:rPr>
          <w:rFonts w:ascii="DecimaWE Rg" w:hAnsi="DecimaWE Rg"/>
          <w:color w:val="000000" w:themeColor="text1"/>
          <w:sz w:val="22"/>
          <w:szCs w:val="22"/>
        </w:rPr>
        <w:t xml:space="preserve">2. </w:t>
      </w:r>
      <w:r w:rsidRPr="0094643A">
        <w:rPr>
          <w:rFonts w:ascii="DecimaWE Rg" w:hAnsi="DecimaWE Rg"/>
          <w:color w:val="000000" w:themeColor="text1"/>
          <w:sz w:val="22"/>
          <w:szCs w:val="22"/>
        </w:rPr>
        <w:tab/>
        <w:t>Nuclei beneficiari, distribuzione territoriale e spesa.</w:t>
      </w:r>
      <w:bookmarkEnd w:id="2"/>
    </w:p>
    <w:p w:rsidR="004B2DA8" w:rsidRPr="00770249" w:rsidRDefault="004B2DA8" w:rsidP="00770249">
      <w:pPr>
        <w:spacing w:after="0"/>
        <w:jc w:val="both"/>
        <w:rPr>
          <w:rFonts w:ascii="DecimaWE Rg" w:hAnsi="DecimaWE Rg"/>
        </w:rPr>
      </w:pPr>
    </w:p>
    <w:p w:rsidR="004B2DA8" w:rsidRDefault="004B2DA8" w:rsidP="00F13C9C">
      <w:pPr>
        <w:tabs>
          <w:tab w:val="left" w:pos="284"/>
        </w:tabs>
        <w:spacing w:after="0"/>
        <w:jc w:val="both"/>
        <w:rPr>
          <w:rFonts w:ascii="DecimaWE Rg" w:hAnsi="DecimaWE Rg"/>
        </w:rPr>
      </w:pPr>
      <w:r>
        <w:rPr>
          <w:rFonts w:ascii="DecimaWE Rg" w:hAnsi="DecimaWE Rg"/>
        </w:rPr>
        <w:t>I</w:t>
      </w:r>
      <w:r w:rsidRPr="00A467B6">
        <w:rPr>
          <w:rFonts w:ascii="DecimaWE Rg" w:hAnsi="DecimaWE Rg"/>
        </w:rPr>
        <w:t xml:space="preserve"> nuclei beneficiari </w:t>
      </w:r>
      <w:r>
        <w:rPr>
          <w:rFonts w:ascii="DecimaWE Rg" w:hAnsi="DecimaWE Rg"/>
        </w:rPr>
        <w:t xml:space="preserve">monitorati con riferimento alle domande presentate nel 2017 sono complessivamente </w:t>
      </w:r>
      <w:r w:rsidRPr="00A467B6">
        <w:rPr>
          <w:rFonts w:ascii="DecimaWE Rg" w:hAnsi="DecimaWE Rg"/>
        </w:rPr>
        <w:t>9.522</w:t>
      </w:r>
      <w:r>
        <w:rPr>
          <w:rFonts w:ascii="DecimaWE Rg" w:hAnsi="DecimaWE Rg"/>
        </w:rPr>
        <w:t xml:space="preserve"> e presentano, come le domande, una distribuzione territoriale coerente con quella rilevata nei precedenti monitoraggi, che vede una loro maggior concentrazione nelle UTI Giuliana (31% dei nuclei beneficiari della regione); Friuli Centrale (18%), Noncello (7%), Collio Alto Isonzo e Carso Isonzo Adriatico (entrambi 6% dei nuclei); mentre territori come le UTI della Carnia, del Canal del Ferro e Valcanale, del Gemonese, Collinare, Torre, Sile Meduna e delle Valli e delle Dolomiti friulane non superano il 2,5% dei beneficiari ciascuno. </w:t>
      </w:r>
    </w:p>
    <w:p w:rsidR="004B2DA8" w:rsidRDefault="004B2DA8" w:rsidP="005C09EC">
      <w:pPr>
        <w:spacing w:after="0" w:line="240" w:lineRule="auto"/>
        <w:jc w:val="both"/>
        <w:rPr>
          <w:rFonts w:ascii="DecimaWE Rg" w:hAnsi="DecimaWE Rg"/>
          <w:i/>
          <w:sz w:val="20"/>
        </w:rPr>
      </w:pPr>
    </w:p>
    <w:p w:rsidR="004B2DA8" w:rsidRDefault="004B2DA8" w:rsidP="005C09EC">
      <w:pPr>
        <w:spacing w:after="0" w:line="240" w:lineRule="auto"/>
        <w:jc w:val="both"/>
        <w:rPr>
          <w:rFonts w:ascii="DecimaWE Rg" w:hAnsi="DecimaWE Rg"/>
          <w:i/>
          <w:sz w:val="20"/>
        </w:rPr>
      </w:pPr>
      <w:proofErr w:type="spellStart"/>
      <w:r>
        <w:rPr>
          <w:rFonts w:ascii="DecimaWE Rg" w:hAnsi="DecimaWE Rg"/>
          <w:i/>
          <w:sz w:val="20"/>
        </w:rPr>
        <w:t>Tab</w:t>
      </w:r>
      <w:proofErr w:type="spellEnd"/>
      <w:r>
        <w:rPr>
          <w:rFonts w:ascii="DecimaWE Rg" w:hAnsi="DecimaWE Rg"/>
          <w:i/>
          <w:sz w:val="20"/>
        </w:rPr>
        <w:t>. 1</w:t>
      </w:r>
      <w:r w:rsidRPr="00344A13">
        <w:rPr>
          <w:rFonts w:ascii="DecimaWE Rg" w:hAnsi="DecimaWE Rg"/>
          <w:i/>
          <w:sz w:val="20"/>
        </w:rPr>
        <w:t xml:space="preserve"> – </w:t>
      </w:r>
      <w:r>
        <w:rPr>
          <w:rFonts w:ascii="DecimaWE Rg" w:hAnsi="DecimaWE Rg"/>
          <w:i/>
          <w:sz w:val="20"/>
        </w:rPr>
        <w:t>Nuclei beneficiari di</w:t>
      </w:r>
      <w:r w:rsidRPr="00344A13">
        <w:rPr>
          <w:rFonts w:ascii="DecimaWE Rg" w:hAnsi="DecimaWE Rg"/>
          <w:i/>
          <w:sz w:val="20"/>
        </w:rPr>
        <w:t xml:space="preserve"> MIA e</w:t>
      </w:r>
      <w:r>
        <w:rPr>
          <w:rFonts w:ascii="DecimaWE Rg" w:hAnsi="DecimaWE Rg"/>
          <w:i/>
          <w:sz w:val="20"/>
        </w:rPr>
        <w:t>/o</w:t>
      </w:r>
      <w:r w:rsidRPr="00344A13">
        <w:rPr>
          <w:rFonts w:ascii="DecimaWE Rg" w:hAnsi="DecimaWE Rg"/>
          <w:i/>
          <w:sz w:val="20"/>
        </w:rPr>
        <w:t xml:space="preserve"> </w:t>
      </w:r>
      <w:r>
        <w:rPr>
          <w:rFonts w:ascii="DecimaWE Rg" w:hAnsi="DecimaWE Rg"/>
          <w:i/>
          <w:sz w:val="20"/>
        </w:rPr>
        <w:t>MIA+SIA</w:t>
      </w:r>
      <w:r w:rsidRPr="00344A13">
        <w:rPr>
          <w:rFonts w:ascii="DecimaWE Rg" w:hAnsi="DecimaWE Rg"/>
          <w:i/>
          <w:sz w:val="20"/>
        </w:rPr>
        <w:t xml:space="preserve"> </w:t>
      </w:r>
      <w:r>
        <w:rPr>
          <w:rFonts w:ascii="DecimaWE Rg" w:hAnsi="DecimaWE Rg"/>
          <w:i/>
          <w:sz w:val="20"/>
        </w:rPr>
        <w:t>con domanda presentata dal 01/01/2017 al 31/12/2017, distribuzione percentuale per UTI, numero di componenti coinvolti e numero medio di componenti per ciascun nucleo.</w:t>
      </w:r>
    </w:p>
    <w:p w:rsidR="004B2DA8" w:rsidRDefault="009F6CA2" w:rsidP="005C09EC">
      <w:pPr>
        <w:spacing w:after="0" w:line="240" w:lineRule="auto"/>
        <w:jc w:val="both"/>
        <w:rPr>
          <w:rFonts w:ascii="DecimaWE Rg" w:hAnsi="DecimaWE Rg"/>
          <w:i/>
          <w:sz w:val="20"/>
        </w:rPr>
      </w:pPr>
      <w:r>
        <w:rPr>
          <w:noProof/>
          <w:lang w:eastAsia="it-IT"/>
        </w:rPr>
        <w:drawing>
          <wp:inline distT="0" distB="0" distL="0" distR="0" wp14:anchorId="3D96A047" wp14:editId="568F9637">
            <wp:extent cx="5064760" cy="3864610"/>
            <wp:effectExtent l="0" t="0" r="0" b="0"/>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4760" cy="3864610"/>
                    </a:xfrm>
                    <a:prstGeom prst="rect">
                      <a:avLst/>
                    </a:prstGeom>
                    <a:noFill/>
                    <a:ln>
                      <a:noFill/>
                    </a:ln>
                  </pic:spPr>
                </pic:pic>
              </a:graphicData>
            </a:graphic>
          </wp:inline>
        </w:drawing>
      </w:r>
    </w:p>
    <w:p w:rsidR="004B2DA8" w:rsidRDefault="004B2DA8" w:rsidP="005C09EC">
      <w:pPr>
        <w:spacing w:after="0"/>
        <w:jc w:val="both"/>
        <w:rPr>
          <w:rFonts w:ascii="DecimaWE Rg" w:hAnsi="DecimaWE Rg"/>
          <w:i/>
          <w:sz w:val="18"/>
        </w:rPr>
      </w:pPr>
      <w:r w:rsidRPr="00391D39">
        <w:rPr>
          <w:rFonts w:ascii="DecimaWE Rg" w:hAnsi="DecimaWE Rg"/>
          <w:i/>
          <w:sz w:val="18"/>
        </w:rPr>
        <w:t>Fonte: SIMIA – domande registrate dal 01/01/2017 al 31/12/2017, estrazione dati al 21/05/2018.</w:t>
      </w:r>
      <w:r>
        <w:rPr>
          <w:rFonts w:ascii="DecimaWE Rg" w:hAnsi="DecimaWE Rg"/>
          <w:i/>
          <w:sz w:val="18"/>
        </w:rPr>
        <w:t xml:space="preserve"> </w:t>
      </w:r>
    </w:p>
    <w:p w:rsidR="004B2DA8" w:rsidRDefault="004B2DA8" w:rsidP="005C09EC">
      <w:pPr>
        <w:spacing w:after="0"/>
        <w:jc w:val="both"/>
        <w:rPr>
          <w:rFonts w:ascii="DecimaWE Rg" w:hAnsi="DecimaWE Rg"/>
        </w:rPr>
      </w:pPr>
    </w:p>
    <w:p w:rsidR="00C45B97" w:rsidRDefault="004B2DA8" w:rsidP="00C45B97">
      <w:pPr>
        <w:spacing w:after="0"/>
        <w:jc w:val="both"/>
        <w:rPr>
          <w:rFonts w:ascii="DecimaWE Rg" w:hAnsi="DecimaWE Rg"/>
        </w:rPr>
      </w:pPr>
      <w:r>
        <w:rPr>
          <w:rFonts w:ascii="DecimaWE Rg" w:hAnsi="DecimaWE Rg"/>
        </w:rPr>
        <w:t>Dei nuclei beneficiari che hanno presentato domanda nel corso del 2017, circa un terzo (3.089) risulta accedere per la prima volta alla misura.</w:t>
      </w:r>
      <w:r w:rsidR="00C45B97">
        <w:rPr>
          <w:rFonts w:ascii="DecimaWE Rg" w:hAnsi="DecimaWE Rg"/>
        </w:rPr>
        <w:t xml:space="preserve"> </w:t>
      </w:r>
    </w:p>
    <w:p w:rsidR="004B2DA8" w:rsidRDefault="004B2DA8" w:rsidP="00C45B97">
      <w:pPr>
        <w:spacing w:after="0"/>
        <w:jc w:val="both"/>
        <w:rPr>
          <w:rFonts w:ascii="DecimaWE Rg" w:hAnsi="DecimaWE Rg"/>
        </w:rPr>
      </w:pPr>
      <w:r w:rsidRPr="00084273">
        <w:rPr>
          <w:rFonts w:ascii="DecimaWE Rg" w:hAnsi="DecimaWE Rg"/>
        </w:rPr>
        <w:t xml:space="preserve">Riguardo ai dati economici, l’importo trasferito ai SSC per finanziare la MIA nel corso del 2017 si è attestato a euro 32.242.000,00. </w:t>
      </w:r>
      <w:r w:rsidR="009F6CA2" w:rsidRPr="00084273">
        <w:rPr>
          <w:rFonts w:ascii="DecimaWE Rg" w:hAnsi="DecimaWE Rg"/>
        </w:rPr>
        <w:t>Gli importi effettivamente erogati ai beneficiari nell’anno solare (computati secondo principio di cassa) si sono attestati invece a euro 29.716.840,86</w:t>
      </w:r>
      <w:r w:rsidRPr="00084273">
        <w:rPr>
          <w:rStyle w:val="Rimandonotaapidipagina"/>
          <w:rFonts w:ascii="DecimaWE Rg" w:hAnsi="DecimaWE Rg"/>
        </w:rPr>
        <w:footnoteReference w:id="12"/>
      </w:r>
      <w:r w:rsidRPr="00084273">
        <w:rPr>
          <w:rFonts w:ascii="DecimaWE Rg" w:hAnsi="DecimaWE Rg"/>
        </w:rPr>
        <w:t>.</w:t>
      </w:r>
    </w:p>
    <w:p w:rsidR="004B2DA8" w:rsidRDefault="004B2DA8" w:rsidP="00C45B97">
      <w:pPr>
        <w:spacing w:after="0"/>
        <w:jc w:val="both"/>
        <w:rPr>
          <w:rFonts w:ascii="DecimaWE Rg" w:hAnsi="DecimaWE Rg"/>
        </w:rPr>
      </w:pPr>
      <w:r w:rsidRPr="001F4E2D">
        <w:rPr>
          <w:rFonts w:ascii="DecimaWE Rg" w:hAnsi="DecimaWE Rg"/>
        </w:rPr>
        <w:lastRenderedPageBreak/>
        <w:t>Il dato fornito da INPS evidenzia inoltre per il 2017, in relazione alle domande SIA e SIA+MIA pagate in FVG, un importo di euro 3.100.000,00 circa a valere sulla quota SIA</w:t>
      </w:r>
      <w:r w:rsidRPr="001F4E2D">
        <w:rPr>
          <w:rStyle w:val="Rimandonotaapidipagina"/>
          <w:rFonts w:ascii="DecimaWE Rg" w:hAnsi="DecimaWE Rg"/>
        </w:rPr>
        <w:footnoteReference w:id="13"/>
      </w:r>
      <w:r w:rsidRPr="001F4E2D">
        <w:rPr>
          <w:rFonts w:ascii="DecimaWE Rg" w:hAnsi="DecimaWE Rg"/>
        </w:rPr>
        <w:t>.</w:t>
      </w:r>
    </w:p>
    <w:p w:rsidR="004B2DA8" w:rsidRDefault="004B2DA8" w:rsidP="005C09EC">
      <w:pPr>
        <w:spacing w:after="0"/>
        <w:jc w:val="both"/>
        <w:rPr>
          <w:rFonts w:ascii="DecimaWE Rg" w:hAnsi="DecimaWE Rg"/>
        </w:rPr>
      </w:pPr>
    </w:p>
    <w:p w:rsidR="004B2DA8" w:rsidRDefault="004B2DA8" w:rsidP="005C09EC">
      <w:pPr>
        <w:spacing w:after="0"/>
        <w:jc w:val="both"/>
        <w:rPr>
          <w:rFonts w:ascii="DecimaWE Rg" w:hAnsi="DecimaWE Rg"/>
        </w:rPr>
      </w:pPr>
      <w:r>
        <w:rPr>
          <w:rFonts w:ascii="DecimaWE Rg" w:hAnsi="DecimaWE Rg"/>
        </w:rPr>
        <w:t xml:space="preserve">Sommando i nuovi nuclei che hanno presentato domanda nel 2017 a quelli precedentemente monitorati (beneficiari 2015-2016) risultano </w:t>
      </w:r>
      <w:r w:rsidRPr="009003D6">
        <w:rPr>
          <w:rFonts w:ascii="DecimaWE Rg" w:hAnsi="DecimaWE Rg"/>
          <w:b/>
        </w:rPr>
        <w:t>complessivamente 18</w:t>
      </w:r>
      <w:r>
        <w:rPr>
          <w:rFonts w:ascii="DecimaWE Rg" w:hAnsi="DecimaWE Rg"/>
          <w:b/>
        </w:rPr>
        <w:t>.890 nuclei beneficiari</w:t>
      </w:r>
      <w:r>
        <w:rPr>
          <w:rFonts w:ascii="DecimaWE Rg" w:hAnsi="DecimaWE Rg"/>
        </w:rPr>
        <w:t xml:space="preserve"> a livello regionale, </w:t>
      </w:r>
      <w:r>
        <w:rPr>
          <w:rFonts w:ascii="DecimaWE Rg" w:hAnsi="DecimaWE Rg"/>
          <w:b/>
        </w:rPr>
        <w:t>con un’incidenza pari</w:t>
      </w:r>
      <w:r w:rsidRPr="009003D6">
        <w:rPr>
          <w:rFonts w:ascii="DecimaWE Rg" w:hAnsi="DecimaWE Rg"/>
          <w:b/>
        </w:rPr>
        <w:t xml:space="preserve"> a 3,4 nuclei beneficiari ogni 100 famiglie</w:t>
      </w:r>
      <w:r>
        <w:rPr>
          <w:rFonts w:ascii="DecimaWE Rg" w:hAnsi="DecimaWE Rg"/>
        </w:rPr>
        <w:t xml:space="preserve"> residenti</w:t>
      </w:r>
      <w:r>
        <w:rPr>
          <w:rStyle w:val="Rimandonotaapidipagina"/>
          <w:rFonts w:ascii="DecimaWE Rg" w:hAnsi="DecimaWE Rg"/>
        </w:rPr>
        <w:footnoteReference w:id="14"/>
      </w:r>
      <w:r>
        <w:rPr>
          <w:rFonts w:ascii="DecimaWE Rg" w:hAnsi="DecimaWE Rg"/>
        </w:rPr>
        <w:t xml:space="preserve"> con riferimento al primo biennio di sperimentazione della misura (ottobre 2015-dicembre 2017). La distribuzione dei nuclei per mensilità di primo accesso alla misura evidenzia, dopo il picco significativo di domande nella fase di avvio (ottobre-dicembre 2015), una successiva diminuzione e conseguentemente una stabilizzazione dei nuovi accessi a partire dal secondo semestre del 2016 (con una media di circa 350 nuovi accessi al mese)</w:t>
      </w:r>
      <w:r>
        <w:rPr>
          <w:rStyle w:val="Rimandonotaapidipagina"/>
          <w:rFonts w:ascii="DecimaWE Rg" w:hAnsi="DecimaWE Rg"/>
        </w:rPr>
        <w:footnoteReference w:id="15"/>
      </w:r>
      <w:r>
        <w:rPr>
          <w:rFonts w:ascii="DecimaWE Rg" w:hAnsi="DecimaWE Rg"/>
        </w:rPr>
        <w:t>.</w:t>
      </w:r>
    </w:p>
    <w:p w:rsidR="004B2DA8" w:rsidRDefault="004B2DA8" w:rsidP="005C09EC">
      <w:pPr>
        <w:spacing w:after="0"/>
        <w:jc w:val="both"/>
        <w:rPr>
          <w:rFonts w:ascii="DecimaWE Rg" w:hAnsi="DecimaWE Rg"/>
        </w:rPr>
      </w:pPr>
      <w:r>
        <w:rPr>
          <w:rFonts w:ascii="DecimaWE Rg" w:hAnsi="DecimaWE Rg"/>
        </w:rPr>
        <w:t xml:space="preserve"> </w:t>
      </w:r>
    </w:p>
    <w:p w:rsidR="004B2DA8" w:rsidRDefault="004B2DA8" w:rsidP="005C09EC">
      <w:pPr>
        <w:spacing w:after="0" w:line="240" w:lineRule="auto"/>
        <w:jc w:val="both"/>
        <w:rPr>
          <w:rFonts w:ascii="DecimaWE Rg" w:hAnsi="DecimaWE Rg"/>
          <w:i/>
          <w:sz w:val="20"/>
        </w:rPr>
      </w:pPr>
      <w:r>
        <w:rPr>
          <w:rFonts w:ascii="DecimaWE Rg" w:hAnsi="DecimaWE Rg"/>
          <w:i/>
          <w:sz w:val="20"/>
        </w:rPr>
        <w:t>Graf. 3</w:t>
      </w:r>
      <w:r w:rsidRPr="00344A13">
        <w:rPr>
          <w:rFonts w:ascii="DecimaWE Rg" w:hAnsi="DecimaWE Rg"/>
          <w:i/>
          <w:sz w:val="20"/>
        </w:rPr>
        <w:t xml:space="preserve"> – </w:t>
      </w:r>
      <w:r>
        <w:rPr>
          <w:rFonts w:ascii="DecimaWE Rg" w:hAnsi="DecimaWE Rg"/>
          <w:i/>
          <w:sz w:val="20"/>
        </w:rPr>
        <w:t>Nuclei beneficiari di</w:t>
      </w:r>
      <w:r w:rsidRPr="00344A13">
        <w:rPr>
          <w:rFonts w:ascii="DecimaWE Rg" w:hAnsi="DecimaWE Rg"/>
          <w:i/>
          <w:sz w:val="20"/>
        </w:rPr>
        <w:t xml:space="preserve"> MIA e</w:t>
      </w:r>
      <w:r>
        <w:rPr>
          <w:rFonts w:ascii="DecimaWE Rg" w:hAnsi="DecimaWE Rg"/>
          <w:i/>
          <w:sz w:val="20"/>
        </w:rPr>
        <w:t>/o</w:t>
      </w:r>
      <w:r w:rsidRPr="00344A13">
        <w:rPr>
          <w:rFonts w:ascii="DecimaWE Rg" w:hAnsi="DecimaWE Rg"/>
          <w:i/>
          <w:sz w:val="20"/>
        </w:rPr>
        <w:t xml:space="preserve"> </w:t>
      </w:r>
      <w:r>
        <w:rPr>
          <w:rFonts w:ascii="DecimaWE Rg" w:hAnsi="DecimaWE Rg"/>
          <w:i/>
          <w:sz w:val="20"/>
        </w:rPr>
        <w:t>MIA+SIA</w:t>
      </w:r>
      <w:r w:rsidRPr="00344A13">
        <w:rPr>
          <w:rFonts w:ascii="DecimaWE Rg" w:hAnsi="DecimaWE Rg"/>
          <w:i/>
          <w:sz w:val="20"/>
        </w:rPr>
        <w:t xml:space="preserve"> per mensilità di presentazione</w:t>
      </w:r>
      <w:r>
        <w:rPr>
          <w:rFonts w:ascii="DecimaWE Rg" w:hAnsi="DecimaWE Rg"/>
          <w:i/>
          <w:sz w:val="20"/>
        </w:rPr>
        <w:t xml:space="preserve"> della prima istanza, nel periodo</w:t>
      </w:r>
      <w:r w:rsidRPr="00344A13">
        <w:rPr>
          <w:rFonts w:ascii="DecimaWE Rg" w:hAnsi="DecimaWE Rg"/>
          <w:i/>
          <w:sz w:val="20"/>
        </w:rPr>
        <w:t xml:space="preserve"> ottobre 20</w:t>
      </w:r>
      <w:r>
        <w:rPr>
          <w:rFonts w:ascii="DecimaWE Rg" w:hAnsi="DecimaWE Rg"/>
          <w:i/>
          <w:sz w:val="20"/>
        </w:rPr>
        <w:t>15- dicembre 2017</w:t>
      </w:r>
      <w:r w:rsidRPr="00344A13">
        <w:rPr>
          <w:rFonts w:ascii="DecimaWE Rg" w:hAnsi="DecimaWE Rg"/>
          <w:i/>
          <w:sz w:val="20"/>
        </w:rPr>
        <w:t>.</w:t>
      </w:r>
    </w:p>
    <w:p w:rsidR="004B2DA8" w:rsidRDefault="009F6CA2" w:rsidP="00533DB5">
      <w:pPr>
        <w:spacing w:after="0" w:line="240" w:lineRule="auto"/>
        <w:jc w:val="center"/>
        <w:rPr>
          <w:rFonts w:ascii="DecimaWE Rg" w:hAnsi="DecimaWE Rg"/>
          <w:i/>
          <w:sz w:val="20"/>
        </w:rPr>
      </w:pPr>
      <w:r>
        <w:rPr>
          <w:rFonts w:ascii="DecimaWE Rg" w:hAnsi="DecimaWE Rg"/>
          <w:i/>
          <w:noProof/>
          <w:sz w:val="20"/>
          <w:lang w:eastAsia="it-IT"/>
        </w:rPr>
        <w:drawing>
          <wp:inline distT="0" distB="0" distL="0" distR="0" wp14:anchorId="5D828E53" wp14:editId="749AF7E4">
            <wp:extent cx="6075045" cy="2449195"/>
            <wp:effectExtent l="0" t="0" r="0" b="0"/>
            <wp:docPr id="5"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5045" cy="2449195"/>
                    </a:xfrm>
                    <a:prstGeom prst="rect">
                      <a:avLst/>
                    </a:prstGeom>
                    <a:noFill/>
                    <a:ln>
                      <a:noFill/>
                    </a:ln>
                  </pic:spPr>
                </pic:pic>
              </a:graphicData>
            </a:graphic>
          </wp:inline>
        </w:drawing>
      </w:r>
    </w:p>
    <w:p w:rsidR="004B2DA8" w:rsidRDefault="004B2DA8" w:rsidP="005C09EC">
      <w:pPr>
        <w:spacing w:after="0" w:line="240" w:lineRule="auto"/>
        <w:jc w:val="both"/>
        <w:rPr>
          <w:rFonts w:ascii="DecimaWE Rg" w:hAnsi="DecimaWE Rg"/>
          <w:i/>
          <w:sz w:val="18"/>
        </w:rPr>
      </w:pPr>
      <w:r w:rsidRPr="00DC4A53">
        <w:rPr>
          <w:rFonts w:ascii="DecimaWE Rg" w:hAnsi="DecimaWE Rg"/>
          <w:i/>
          <w:sz w:val="18"/>
        </w:rPr>
        <w:t xml:space="preserve">Fonte: SIMIA – domande registrate dal 22/10/2015 al 31/12/2016, estrazione dati al 17/10/2017. </w:t>
      </w:r>
      <w:r>
        <w:rPr>
          <w:rFonts w:ascii="DecimaWE Rg" w:hAnsi="DecimaWE Rg"/>
          <w:i/>
          <w:sz w:val="18"/>
        </w:rPr>
        <w:t>D</w:t>
      </w:r>
      <w:r w:rsidRPr="00DC4A53">
        <w:rPr>
          <w:rFonts w:ascii="DecimaWE Rg" w:hAnsi="DecimaWE Rg"/>
          <w:i/>
          <w:sz w:val="18"/>
        </w:rPr>
        <w:t>omande registrate dal 01/01/2017 al 31/12/2017, estrazione dati al 21/05/2018.</w:t>
      </w:r>
    </w:p>
    <w:p w:rsidR="004B2DA8" w:rsidRDefault="004B2DA8" w:rsidP="005C09EC">
      <w:pPr>
        <w:spacing w:after="0"/>
        <w:jc w:val="both"/>
        <w:rPr>
          <w:rFonts w:ascii="DecimaWE Rg" w:hAnsi="DecimaWE Rg"/>
        </w:rPr>
      </w:pPr>
    </w:p>
    <w:p w:rsidR="004B2DA8" w:rsidRDefault="004B2DA8" w:rsidP="005C09EC">
      <w:pPr>
        <w:spacing w:after="0"/>
        <w:jc w:val="both"/>
        <w:rPr>
          <w:rFonts w:ascii="DecimaWE Rg" w:hAnsi="DecimaWE Rg"/>
        </w:rPr>
      </w:pPr>
      <w:r>
        <w:rPr>
          <w:rFonts w:ascii="DecimaWE Rg" w:hAnsi="DecimaWE Rg"/>
        </w:rPr>
        <w:t xml:space="preserve">Anche in questo caso osservando la distribuzione territoriale riferita al totale dei nuclei che hanno beneficiato della misura, risulta evidente l’impatto sui territori delle UTI Giuliana e del Friuli Centrale, con oltre 4,5 nuclei </w:t>
      </w:r>
      <w:r w:rsidRPr="000149BE">
        <w:rPr>
          <w:rFonts w:ascii="DecimaWE Rg" w:hAnsi="DecimaWE Rg"/>
        </w:rPr>
        <w:t>beneficiari ogni 100 nuclei residenti e nelle UTI Carso Isonzo Adriatico e Collio-Alto Isonzo dove l’incidenza si attesta rispettivamente su 4,0 e 3,6 nuclei beneficiari ogni 100 famiglie residenti. Si conferma pertanto la maggior concentrazione di beneficiari nei territori urbani, evidenziando una distribuzione disomogenea tra città e piccoli centri urbani. L’incidenza di nuclei beneficiari risulta mediamente più elevata nei comuni di più grandi dimensioni, indipendentemente dall’ubicazione territoriale degli stessi: nei comuni fino a 3.000 abitanti si registrano 1,9 nuclei beneficiari ogni 100 famiglie residenti; tale incidenza sale leggermente nei</w:t>
      </w:r>
      <w:r>
        <w:rPr>
          <w:rFonts w:ascii="DecimaWE Rg" w:hAnsi="DecimaWE Rg"/>
        </w:rPr>
        <w:t xml:space="preserve"> c</w:t>
      </w:r>
      <w:r w:rsidRPr="000149BE">
        <w:rPr>
          <w:rFonts w:ascii="DecimaWE Rg" w:hAnsi="DecimaWE Rg"/>
        </w:rPr>
        <w:t>omuni da 3.000</w:t>
      </w:r>
      <w:r>
        <w:rPr>
          <w:rFonts w:ascii="DecimaWE Rg" w:hAnsi="DecimaWE Rg"/>
        </w:rPr>
        <w:t xml:space="preserve"> a 8.000 </w:t>
      </w:r>
      <w:r w:rsidRPr="000149BE">
        <w:rPr>
          <w:rFonts w:ascii="DecimaWE Rg" w:hAnsi="DecimaWE Rg"/>
        </w:rPr>
        <w:t>abitanti (2,0%), per attestarsi intorno al 2,6</w:t>
      </w:r>
      <w:r>
        <w:rPr>
          <w:rFonts w:ascii="DecimaWE Rg" w:hAnsi="DecimaWE Rg"/>
        </w:rPr>
        <w:t>% nei c</w:t>
      </w:r>
      <w:r w:rsidRPr="000149BE">
        <w:rPr>
          <w:rFonts w:ascii="DecimaWE Rg" w:hAnsi="DecimaWE Rg"/>
        </w:rPr>
        <w:t>omuni al di sopra degli 8.0</w:t>
      </w:r>
      <w:r>
        <w:rPr>
          <w:rFonts w:ascii="DecimaWE Rg" w:hAnsi="DecimaWE Rg"/>
        </w:rPr>
        <w:t>00 abitanti e raggiungere, nei c</w:t>
      </w:r>
      <w:r w:rsidRPr="000149BE">
        <w:rPr>
          <w:rFonts w:ascii="DecimaWE Rg" w:hAnsi="DecimaWE Rg"/>
        </w:rPr>
        <w:t>omuni capoluogo, quote molto più rilevanti: 5,9% delle famiglie interessate dalle misure nel Comune di Udine, 5,3% in quello di Trieste, 4,5% nel comune di Gorizia e 4% in</w:t>
      </w:r>
      <w:r>
        <w:rPr>
          <w:rFonts w:ascii="DecimaWE Rg" w:hAnsi="DecimaWE Rg"/>
        </w:rPr>
        <w:t xml:space="preserve"> quello di Pordenone</w:t>
      </w:r>
      <w:r w:rsidRPr="00344A13">
        <w:rPr>
          <w:rFonts w:ascii="DecimaWE Rg" w:hAnsi="DecimaWE Rg"/>
        </w:rPr>
        <w:t xml:space="preserve">. </w:t>
      </w:r>
      <w:r>
        <w:rPr>
          <w:rFonts w:ascii="DecimaWE Rg" w:hAnsi="DecimaWE Rg"/>
        </w:rPr>
        <w:t xml:space="preserve">Il comune che presenta la maggiore incidenza di nuclei beneficiari rispetto alle famiglie residenti è quello di Monfalcone con quasi 7 nuclei beneficiari ogni 100 famiglie. </w:t>
      </w:r>
      <w:r w:rsidRPr="00344A13">
        <w:rPr>
          <w:rFonts w:ascii="DecimaWE Rg" w:hAnsi="DecimaWE Rg"/>
        </w:rPr>
        <w:t xml:space="preserve">A determinare tali differenze sono state indubbiamente le caratteristiche territoriali </w:t>
      </w:r>
      <w:r w:rsidRPr="00344A13">
        <w:rPr>
          <w:rFonts w:ascii="DecimaWE Rg" w:hAnsi="DecimaWE Rg"/>
        </w:rPr>
        <w:lastRenderedPageBreak/>
        <w:t xml:space="preserve">che vedono i fenomeni di povertà e disagio </w:t>
      </w:r>
      <w:r>
        <w:rPr>
          <w:rFonts w:ascii="DecimaWE Rg" w:hAnsi="DecimaWE Rg"/>
        </w:rPr>
        <w:t xml:space="preserve">concentrarsi </w:t>
      </w:r>
      <w:r w:rsidRPr="00344A13">
        <w:rPr>
          <w:rFonts w:ascii="DecimaWE Rg" w:hAnsi="DecimaWE Rg"/>
        </w:rPr>
        <w:t>m</w:t>
      </w:r>
      <w:r>
        <w:rPr>
          <w:rFonts w:ascii="DecimaWE Rg" w:hAnsi="DecimaWE Rg"/>
        </w:rPr>
        <w:t>aggiormente nelle aree urbane</w:t>
      </w:r>
      <w:r w:rsidRPr="00344A13">
        <w:rPr>
          <w:rFonts w:ascii="DecimaWE Rg" w:hAnsi="DecimaWE Rg"/>
        </w:rPr>
        <w:t xml:space="preserve"> rispetto a</w:t>
      </w:r>
      <w:r>
        <w:rPr>
          <w:rFonts w:ascii="DecimaWE Rg" w:hAnsi="DecimaWE Rg"/>
        </w:rPr>
        <w:t>i piccoli centri e alle aree</w:t>
      </w:r>
      <w:r w:rsidRPr="00344A13">
        <w:rPr>
          <w:rFonts w:ascii="DecimaWE Rg" w:hAnsi="DecimaWE Rg"/>
        </w:rPr>
        <w:t xml:space="preserve"> rurali</w:t>
      </w:r>
      <w:r>
        <w:rPr>
          <w:rFonts w:ascii="DecimaWE Rg" w:hAnsi="DecimaWE Rg"/>
        </w:rPr>
        <w:t>. Al</w:t>
      </w:r>
      <w:r w:rsidRPr="00344A13">
        <w:rPr>
          <w:rFonts w:ascii="DecimaWE Rg" w:hAnsi="DecimaWE Rg"/>
        </w:rPr>
        <w:t xml:space="preserve"> te</w:t>
      </w:r>
      <w:r>
        <w:rPr>
          <w:rFonts w:ascii="DecimaWE Rg" w:hAnsi="DecimaWE Rg"/>
        </w:rPr>
        <w:t>mpo stesso, però, le differenze rilevate</w:t>
      </w:r>
      <w:r w:rsidRPr="00344A13">
        <w:rPr>
          <w:rFonts w:ascii="DecimaWE Rg" w:hAnsi="DecimaWE Rg"/>
        </w:rPr>
        <w:t xml:space="preserve"> </w:t>
      </w:r>
      <w:r>
        <w:rPr>
          <w:rFonts w:ascii="DecimaWE Rg" w:hAnsi="DecimaWE Rg"/>
        </w:rPr>
        <w:t>potrebbero riflettere anche una diversa percezione della misura</w:t>
      </w:r>
      <w:r w:rsidRPr="00344A13">
        <w:rPr>
          <w:rFonts w:ascii="DecimaWE Rg" w:hAnsi="DecimaWE Rg"/>
        </w:rPr>
        <w:t xml:space="preserve"> </w:t>
      </w:r>
      <w:r>
        <w:rPr>
          <w:rFonts w:ascii="DecimaWE Rg" w:hAnsi="DecimaWE Rg"/>
        </w:rPr>
        <w:t>da parte della popolazione a livello locale; contribuiscono ulteriormente a differenziare i risultati differenti modalità di approccio ai servizi da parte dell’utenza, nonché</w:t>
      </w:r>
      <w:r w:rsidRPr="00344A13">
        <w:rPr>
          <w:rFonts w:ascii="DecimaWE Rg" w:hAnsi="DecimaWE Rg"/>
        </w:rPr>
        <w:t xml:space="preserve"> diffe</w:t>
      </w:r>
      <w:r>
        <w:rPr>
          <w:rFonts w:ascii="DecimaWE Rg" w:hAnsi="DecimaWE Rg"/>
        </w:rPr>
        <w:t xml:space="preserve">renti approcci organizzativi dei servizi stessi, </w:t>
      </w:r>
      <w:r w:rsidRPr="000149BE">
        <w:rPr>
          <w:rFonts w:ascii="DecimaWE Rg" w:hAnsi="DecimaWE Rg"/>
        </w:rPr>
        <w:t>anche con riferimento alla gestione degli altri interventi di contrasto alla povertà (contributi economici ordinari e straordinari, ecc.) già attivi sul territorio.</w:t>
      </w:r>
    </w:p>
    <w:p w:rsidR="004B2DA8" w:rsidRDefault="004B2DA8" w:rsidP="005C09EC">
      <w:pPr>
        <w:spacing w:after="0"/>
        <w:jc w:val="both"/>
        <w:rPr>
          <w:rFonts w:ascii="DecimaWE Rg" w:hAnsi="DecimaWE Rg"/>
        </w:rPr>
      </w:pPr>
    </w:p>
    <w:p w:rsidR="004B2DA8" w:rsidRDefault="004B2DA8" w:rsidP="005C09EC">
      <w:pPr>
        <w:spacing w:after="0" w:line="240" w:lineRule="auto"/>
        <w:jc w:val="both"/>
        <w:rPr>
          <w:rFonts w:ascii="DecimaWE Rg" w:hAnsi="DecimaWE Rg"/>
          <w:i/>
          <w:sz w:val="20"/>
        </w:rPr>
      </w:pPr>
      <w:r>
        <w:rPr>
          <w:rFonts w:ascii="DecimaWE Rg" w:hAnsi="DecimaWE Rg"/>
          <w:i/>
          <w:sz w:val="20"/>
        </w:rPr>
        <w:t>Graf. 4 – Distribuzione</w:t>
      </w:r>
      <w:r w:rsidRPr="00344A13">
        <w:rPr>
          <w:rFonts w:ascii="DecimaWE Rg" w:hAnsi="DecimaWE Rg"/>
          <w:i/>
          <w:sz w:val="20"/>
        </w:rPr>
        <w:t xml:space="preserve"> </w:t>
      </w:r>
      <w:r>
        <w:rPr>
          <w:rFonts w:ascii="DecimaWE Rg" w:hAnsi="DecimaWE Rg"/>
          <w:i/>
          <w:sz w:val="20"/>
        </w:rPr>
        <w:t xml:space="preserve">per UTI dei nuclei beneficiari di </w:t>
      </w:r>
      <w:r w:rsidRPr="00344A13">
        <w:rPr>
          <w:rFonts w:ascii="DecimaWE Rg" w:hAnsi="DecimaWE Rg"/>
          <w:i/>
          <w:sz w:val="20"/>
        </w:rPr>
        <w:t>MIA e</w:t>
      </w:r>
      <w:r>
        <w:rPr>
          <w:rFonts w:ascii="DecimaWE Rg" w:hAnsi="DecimaWE Rg"/>
          <w:i/>
          <w:sz w:val="20"/>
        </w:rPr>
        <w:t>/o</w:t>
      </w:r>
      <w:r w:rsidRPr="00344A13">
        <w:rPr>
          <w:rFonts w:ascii="DecimaWE Rg" w:hAnsi="DecimaWE Rg"/>
          <w:i/>
          <w:sz w:val="20"/>
        </w:rPr>
        <w:t xml:space="preserve"> </w:t>
      </w:r>
      <w:r>
        <w:rPr>
          <w:rFonts w:ascii="DecimaWE Rg" w:hAnsi="DecimaWE Rg"/>
          <w:i/>
          <w:sz w:val="20"/>
        </w:rPr>
        <w:t>MIA+</w:t>
      </w:r>
      <w:r w:rsidRPr="00344A13">
        <w:rPr>
          <w:rFonts w:ascii="DecimaWE Rg" w:hAnsi="DecimaWE Rg"/>
          <w:i/>
          <w:sz w:val="20"/>
        </w:rPr>
        <w:t>SIA</w:t>
      </w:r>
      <w:r>
        <w:rPr>
          <w:rFonts w:ascii="DecimaWE Rg" w:hAnsi="DecimaWE Rg"/>
          <w:i/>
          <w:sz w:val="20"/>
        </w:rPr>
        <w:t xml:space="preserve"> nel periodo</w:t>
      </w:r>
      <w:r w:rsidRPr="00344A13">
        <w:rPr>
          <w:rFonts w:ascii="DecimaWE Rg" w:hAnsi="DecimaWE Rg"/>
          <w:i/>
          <w:sz w:val="20"/>
        </w:rPr>
        <w:t xml:space="preserve"> ottobre 20</w:t>
      </w:r>
      <w:r>
        <w:rPr>
          <w:rFonts w:ascii="DecimaWE Rg" w:hAnsi="DecimaWE Rg"/>
          <w:i/>
          <w:sz w:val="20"/>
        </w:rPr>
        <w:t>15- dicembre 2017 e incidenza ogni 100 famiglie residenti.</w:t>
      </w:r>
    </w:p>
    <w:p w:rsidR="004B2DA8" w:rsidRDefault="009F6CA2" w:rsidP="005C09EC">
      <w:pPr>
        <w:spacing w:after="0" w:line="240" w:lineRule="auto"/>
        <w:jc w:val="both"/>
        <w:rPr>
          <w:rFonts w:ascii="DecimaWE Rg" w:hAnsi="DecimaWE Rg"/>
        </w:rPr>
      </w:pPr>
      <w:r>
        <w:rPr>
          <w:rFonts w:ascii="DecimaWE Rg" w:hAnsi="DecimaWE Rg"/>
          <w:i/>
          <w:noProof/>
          <w:sz w:val="20"/>
          <w:lang w:eastAsia="it-IT"/>
        </w:rPr>
        <w:drawing>
          <wp:inline distT="0" distB="0" distL="0" distR="0" wp14:anchorId="7824DBB0" wp14:editId="390CE480">
            <wp:extent cx="6154420" cy="2989580"/>
            <wp:effectExtent l="0" t="0" r="0" b="0"/>
            <wp:docPr id="6"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4420" cy="2989580"/>
                    </a:xfrm>
                    <a:prstGeom prst="rect">
                      <a:avLst/>
                    </a:prstGeom>
                    <a:noFill/>
                    <a:ln>
                      <a:noFill/>
                    </a:ln>
                  </pic:spPr>
                </pic:pic>
              </a:graphicData>
            </a:graphic>
          </wp:inline>
        </w:drawing>
      </w:r>
    </w:p>
    <w:p w:rsidR="004B2DA8" w:rsidRDefault="004B2DA8" w:rsidP="005C09EC">
      <w:pPr>
        <w:spacing w:after="0" w:line="240" w:lineRule="auto"/>
        <w:jc w:val="both"/>
        <w:rPr>
          <w:rFonts w:ascii="DecimaWE Rg" w:hAnsi="DecimaWE Rg"/>
          <w:i/>
          <w:sz w:val="18"/>
        </w:rPr>
      </w:pPr>
      <w:r w:rsidRPr="00DC4A53">
        <w:rPr>
          <w:rFonts w:ascii="DecimaWE Rg" w:hAnsi="DecimaWE Rg"/>
          <w:i/>
          <w:sz w:val="18"/>
        </w:rPr>
        <w:t>Fonte: SIMIA – domande registrate dal 22/10/2015 al 31/12/2016</w:t>
      </w:r>
      <w:r>
        <w:rPr>
          <w:rFonts w:ascii="DecimaWE Rg" w:hAnsi="DecimaWE Rg"/>
          <w:i/>
          <w:sz w:val="18"/>
        </w:rPr>
        <w:t>,</w:t>
      </w:r>
      <w:r w:rsidR="00E94D78">
        <w:rPr>
          <w:rFonts w:ascii="DecimaWE Rg" w:hAnsi="DecimaWE Rg"/>
          <w:i/>
          <w:sz w:val="18"/>
        </w:rPr>
        <w:t xml:space="preserve"> estrazione dati al 17/10/2017. D</w:t>
      </w:r>
      <w:r w:rsidRPr="00DC4A53">
        <w:rPr>
          <w:rFonts w:ascii="DecimaWE Rg" w:hAnsi="DecimaWE Rg"/>
          <w:i/>
          <w:sz w:val="18"/>
        </w:rPr>
        <w:t>omande registrate dal 01/01/2017 al 31/12/2017, estrazione dati al 21/05/2018.</w:t>
      </w:r>
      <w:r>
        <w:rPr>
          <w:rFonts w:ascii="DecimaWE Rg" w:hAnsi="DecimaWE Rg"/>
          <w:i/>
          <w:sz w:val="18"/>
        </w:rPr>
        <w:t xml:space="preserve"> Famiglie residenti: ISTAT Bilancio demografico 2016.</w:t>
      </w:r>
    </w:p>
    <w:p w:rsidR="004B2DA8" w:rsidRDefault="004B2DA8" w:rsidP="005C09EC">
      <w:pPr>
        <w:spacing w:after="0"/>
        <w:jc w:val="both"/>
        <w:rPr>
          <w:rFonts w:ascii="DecimaWE Rg" w:hAnsi="DecimaWE Rg"/>
        </w:rPr>
      </w:pPr>
    </w:p>
    <w:p w:rsidR="004B2DA8" w:rsidRDefault="004B2DA8" w:rsidP="00076C0C">
      <w:pPr>
        <w:tabs>
          <w:tab w:val="left" w:pos="284"/>
        </w:tabs>
        <w:spacing w:after="0"/>
        <w:rPr>
          <w:rFonts w:ascii="DecimaWE Rg" w:hAnsi="DecimaWE Rg"/>
          <w:b/>
        </w:rPr>
      </w:pPr>
    </w:p>
    <w:p w:rsidR="004B2DA8" w:rsidRDefault="004B2DA8" w:rsidP="00076C0C">
      <w:pPr>
        <w:tabs>
          <w:tab w:val="left" w:pos="284"/>
        </w:tabs>
        <w:spacing w:after="0"/>
        <w:rPr>
          <w:rFonts w:ascii="DecimaWE Rg" w:hAnsi="DecimaWE Rg"/>
          <w:b/>
        </w:rPr>
      </w:pPr>
    </w:p>
    <w:p w:rsidR="004B2DA8" w:rsidRPr="0094643A" w:rsidRDefault="004B2DA8" w:rsidP="0094643A">
      <w:pPr>
        <w:pStyle w:val="Titolo1"/>
        <w:rPr>
          <w:rFonts w:ascii="DecimaWE Rg" w:hAnsi="DecimaWE Rg"/>
          <w:color w:val="000000" w:themeColor="text1"/>
          <w:sz w:val="22"/>
          <w:szCs w:val="22"/>
        </w:rPr>
      </w:pPr>
      <w:bookmarkStart w:id="3" w:name="_Toc534813289"/>
      <w:r w:rsidRPr="0094643A">
        <w:rPr>
          <w:rFonts w:ascii="DecimaWE Rg" w:hAnsi="DecimaWE Rg"/>
          <w:color w:val="000000" w:themeColor="text1"/>
          <w:sz w:val="22"/>
          <w:szCs w:val="22"/>
        </w:rPr>
        <w:t xml:space="preserve">3. </w:t>
      </w:r>
      <w:r w:rsidRPr="0094643A">
        <w:rPr>
          <w:rFonts w:ascii="DecimaWE Rg" w:hAnsi="DecimaWE Rg"/>
          <w:color w:val="000000" w:themeColor="text1"/>
          <w:sz w:val="22"/>
          <w:szCs w:val="22"/>
        </w:rPr>
        <w:tab/>
        <w:t>Nuclei beneficiari delle domande presentate nel 2017 e loro componenti: profilo socio anagrafico.</w:t>
      </w:r>
      <w:bookmarkEnd w:id="3"/>
    </w:p>
    <w:p w:rsidR="004B2DA8" w:rsidRDefault="004B2DA8" w:rsidP="005C09EC">
      <w:pPr>
        <w:spacing w:after="0"/>
        <w:jc w:val="both"/>
        <w:rPr>
          <w:rFonts w:ascii="DecimaWE Rg" w:hAnsi="DecimaWE Rg"/>
        </w:rPr>
      </w:pPr>
    </w:p>
    <w:p w:rsidR="004B2DA8" w:rsidRDefault="004B2DA8" w:rsidP="005C09EC">
      <w:pPr>
        <w:spacing w:after="0"/>
        <w:jc w:val="both"/>
        <w:rPr>
          <w:rFonts w:ascii="DecimaWE Rg" w:hAnsi="DecimaWE Rg"/>
        </w:rPr>
      </w:pPr>
      <w:r>
        <w:rPr>
          <w:rFonts w:ascii="DecimaWE Rg" w:hAnsi="DecimaWE Rg"/>
        </w:rPr>
        <w:t xml:space="preserve">Il totale dei componenti dei nuclei beneficiari </w:t>
      </w:r>
      <w:r w:rsidR="00E94D78">
        <w:rPr>
          <w:rFonts w:ascii="DecimaWE Rg" w:hAnsi="DecimaWE Rg"/>
        </w:rPr>
        <w:t xml:space="preserve">di MIA e/o MIA/SIA </w:t>
      </w:r>
      <w:r>
        <w:rPr>
          <w:rFonts w:ascii="DecimaWE Rg" w:hAnsi="DecimaWE Rg"/>
        </w:rPr>
        <w:t xml:space="preserve">con domanda presentata nel 2017 risulta pari a 24.132 persone, con un </w:t>
      </w:r>
      <w:r w:rsidRPr="000149BE">
        <w:rPr>
          <w:rFonts w:ascii="DecimaWE Rg" w:hAnsi="DecimaWE Rg"/>
        </w:rPr>
        <w:t>numero medio di persone per nucleo pari a 2,5, leggermente più basso di quello registrato con riferimento ai beneficiari 2015/2016, ma sempre più alto del numero medio di componenti per famiglia registrato in Friuli Venezia Giulia (2,15)</w:t>
      </w:r>
      <w:r w:rsidRPr="000149BE">
        <w:rPr>
          <w:rStyle w:val="Rimandonotaapidipagina"/>
          <w:rFonts w:ascii="DecimaWE Rg" w:hAnsi="DecimaWE Rg"/>
        </w:rPr>
        <w:footnoteReference w:id="16"/>
      </w:r>
      <w:r w:rsidRPr="000149BE">
        <w:rPr>
          <w:rFonts w:ascii="DecimaWE Rg" w:hAnsi="DecimaWE Rg"/>
        </w:rPr>
        <w:t>.</w:t>
      </w:r>
      <w:r>
        <w:rPr>
          <w:rFonts w:ascii="DecimaWE Rg" w:hAnsi="DecimaWE Rg"/>
        </w:rPr>
        <w:t xml:space="preserve"> Le famiglie beneficiarie dei territori del pordenonese (ad eccezione dell’UTI delle Valli e delle Dolomiti Friulane) risultano più “numerose” di quelle del resto della regione, con un numero medio di componenti per nucleo che raggiunge e supera le 3 unità. </w:t>
      </w:r>
    </w:p>
    <w:p w:rsidR="004B2DA8" w:rsidRDefault="004B2DA8" w:rsidP="005C09EC">
      <w:pPr>
        <w:spacing w:after="0"/>
        <w:jc w:val="both"/>
        <w:rPr>
          <w:rFonts w:ascii="DecimaWE Rg" w:hAnsi="DecimaWE Rg"/>
        </w:rPr>
      </w:pPr>
    </w:p>
    <w:p w:rsidR="004B2DA8" w:rsidRPr="000149BE" w:rsidRDefault="004B2DA8" w:rsidP="005C09EC">
      <w:pPr>
        <w:spacing w:after="0"/>
        <w:jc w:val="both"/>
        <w:rPr>
          <w:rFonts w:ascii="DecimaWE Rg" w:hAnsi="DecimaWE Rg"/>
          <w:highlight w:val="yellow"/>
        </w:rPr>
      </w:pPr>
      <w:r>
        <w:rPr>
          <w:rFonts w:ascii="DecimaWE Rg" w:hAnsi="DecimaWE Rg"/>
        </w:rPr>
        <w:t>La distribuzione dei componenti per età evidenzia che quasi un terzo dei beneficiari (7.554 in totale) risulta minoren</w:t>
      </w:r>
      <w:r w:rsidRPr="000149BE">
        <w:rPr>
          <w:rFonts w:ascii="DecimaWE Rg" w:hAnsi="DecimaWE Rg"/>
        </w:rPr>
        <w:t xml:space="preserve">ne, con un peso rispetto alla specifica popolazione di riferimento pari a </w:t>
      </w:r>
      <w:r>
        <w:rPr>
          <w:rFonts w:ascii="DecimaWE Rg" w:hAnsi="DecimaWE Rg"/>
        </w:rPr>
        <w:t>4,2</w:t>
      </w:r>
      <w:r w:rsidRPr="000149BE">
        <w:rPr>
          <w:rFonts w:ascii="DecimaWE Rg" w:hAnsi="DecimaWE Rg"/>
        </w:rPr>
        <w:t xml:space="preserve"> minori beneficiari della misura ogni 100 minori residenti in regione. Dei minorenni coinvolti il 34% risulta in età prescolare, il 31% ha dai 6 ai 10 anni, il 16% dagli 11 ai 13 anni e la restante quota del 19% dai 14</w:t>
      </w:r>
      <w:r>
        <w:rPr>
          <w:rFonts w:ascii="DecimaWE Rg" w:hAnsi="DecimaWE Rg"/>
        </w:rPr>
        <w:t xml:space="preserve"> ai 17 anni. Il dato relativo al totale dei minori raggiunti nella fase di prima sperimentazione della MIA evidenzia un risultato</w:t>
      </w:r>
      <w:r w:rsidRPr="00344A13">
        <w:rPr>
          <w:rFonts w:ascii="DecimaWE Rg" w:hAnsi="DecimaWE Rg"/>
        </w:rPr>
        <w:t xml:space="preserve"> particolarmente significativo e </w:t>
      </w:r>
      <w:r w:rsidRPr="00344A13">
        <w:rPr>
          <w:rFonts w:ascii="DecimaWE Rg" w:hAnsi="DecimaWE Rg"/>
        </w:rPr>
        <w:lastRenderedPageBreak/>
        <w:t>coerente con gli obiettivi di Europa 2020</w:t>
      </w:r>
      <w:r>
        <w:rPr>
          <w:rFonts w:ascii="DecimaWE Rg" w:hAnsi="DecimaWE Rg"/>
        </w:rPr>
        <w:t>,</w:t>
      </w:r>
      <w:r w:rsidRPr="009448D1">
        <w:rPr>
          <w:rFonts w:ascii="DecimaWE Rg" w:hAnsi="DecimaWE Rg"/>
        </w:rPr>
        <w:t xml:space="preserve"> </w:t>
      </w:r>
      <w:r>
        <w:rPr>
          <w:rFonts w:ascii="DecimaWE Rg" w:hAnsi="DecimaWE Rg"/>
        </w:rPr>
        <w:t>che pone l</w:t>
      </w:r>
      <w:r w:rsidRPr="00344A13">
        <w:rPr>
          <w:rFonts w:ascii="DecimaWE Rg" w:hAnsi="DecimaWE Rg"/>
        </w:rPr>
        <w:t>a lotta alla povertà e all'esclusione sociale dei minori tra le sfide prioritarie individuate nella "Piattaforma europea contro le povertà"</w:t>
      </w:r>
      <w:r>
        <w:rPr>
          <w:rFonts w:ascii="DecimaWE Rg" w:hAnsi="DecimaWE Rg"/>
        </w:rPr>
        <w:t xml:space="preserve">. </w:t>
      </w:r>
    </w:p>
    <w:p w:rsidR="004B2DA8" w:rsidRDefault="004B2DA8" w:rsidP="005C09EC">
      <w:pPr>
        <w:spacing w:after="0"/>
        <w:jc w:val="both"/>
        <w:rPr>
          <w:rFonts w:ascii="DecimaWE Rg" w:hAnsi="DecimaWE Rg"/>
        </w:rPr>
      </w:pPr>
      <w:r>
        <w:rPr>
          <w:rFonts w:ascii="DecimaWE Rg" w:hAnsi="DecimaWE Rg"/>
        </w:rPr>
        <w:t xml:space="preserve">I giovani dai 18 </w:t>
      </w:r>
      <w:r w:rsidRPr="00E14F1C">
        <w:rPr>
          <w:rFonts w:ascii="DecimaWE Rg" w:hAnsi="DecimaWE Rg"/>
        </w:rPr>
        <w:t>ai 34 anni rappresentano il 21% dei componenti beneficiari (4.964</w:t>
      </w:r>
      <w:r>
        <w:rPr>
          <w:rFonts w:ascii="DecimaWE Rg" w:hAnsi="DecimaWE Rg"/>
        </w:rPr>
        <w:t>) e</w:t>
      </w:r>
      <w:r w:rsidRPr="00E14F1C">
        <w:rPr>
          <w:rFonts w:ascii="DecimaWE Rg" w:hAnsi="DecimaWE Rg"/>
        </w:rPr>
        <w:t xml:space="preserve"> incidono sulla relativa popolazione di riferimento per il 2,6%. Gli adu</w:t>
      </w:r>
      <w:r w:rsidR="00E94D78">
        <w:rPr>
          <w:rFonts w:ascii="DecimaWE Rg" w:hAnsi="DecimaWE Rg"/>
        </w:rPr>
        <w:t>lti dai 35 ai 64 anni sono il 44% (10.569</w:t>
      </w:r>
      <w:r w:rsidRPr="00E14F1C">
        <w:rPr>
          <w:rFonts w:ascii="DecimaWE Rg" w:hAnsi="DecimaWE Rg"/>
        </w:rPr>
        <w:t>) dei componenti beneficiari; l’incidenza rispetto alla popolazione residente si abbassa al crescere dell’età, passando da 2,3 componenti beneficiari ogni 100 residenti tra i 35 e i 44 anni, a 1,7 componenti beneficiari ogni 100 residenti tra i 55 e i 64 anni. Infine gli anziani dai 65 anni in su, coerentemente con lo spirito della misura, rappresentano una quota minoritaria (4% - complessivamente 1.045 persone</w:t>
      </w:r>
      <w:r>
        <w:rPr>
          <w:rFonts w:ascii="DecimaWE Rg" w:hAnsi="DecimaWE Rg"/>
        </w:rPr>
        <w:t>) e</w:t>
      </w:r>
      <w:r w:rsidRPr="00E14F1C">
        <w:rPr>
          <w:rFonts w:ascii="DecimaWE Rg" w:hAnsi="DecimaWE Rg"/>
        </w:rPr>
        <w:t xml:space="preserve"> incidono sulla relativa popolazione</w:t>
      </w:r>
      <w:r>
        <w:rPr>
          <w:rFonts w:ascii="DecimaWE Rg" w:hAnsi="DecimaWE Rg"/>
        </w:rPr>
        <w:t xml:space="preserve"> di riferimento per lo 0,3%. </w:t>
      </w:r>
    </w:p>
    <w:p w:rsidR="004B2DA8" w:rsidRDefault="004B2DA8" w:rsidP="005C09EC">
      <w:pPr>
        <w:spacing w:after="0"/>
        <w:jc w:val="both"/>
        <w:rPr>
          <w:rFonts w:ascii="DecimaWE Rg" w:hAnsi="DecimaWE Rg"/>
        </w:rPr>
      </w:pPr>
      <w:r>
        <w:rPr>
          <w:rFonts w:ascii="DecimaWE Rg" w:hAnsi="DecimaWE Rg"/>
        </w:rPr>
        <w:t>La distribuzione dei componenti beneficiari per classe d’età risulta pertanto coerente con la distribuzione della povertà assoluta e relativa in Italia e in regione, che evidenzia una maggior incidenza della condizione di povertà in particolare per i giovani e le famiglie con figli e risulta inversamente proporzionale con l’avanzare dell’età</w:t>
      </w:r>
      <w:r>
        <w:rPr>
          <w:rStyle w:val="Rimandonotaapidipagina"/>
          <w:rFonts w:ascii="DecimaWE Rg" w:hAnsi="DecimaWE Rg"/>
        </w:rPr>
        <w:footnoteReference w:id="17"/>
      </w:r>
      <w:r>
        <w:rPr>
          <w:rFonts w:ascii="DecimaWE Rg" w:hAnsi="DecimaWE Rg"/>
        </w:rPr>
        <w:t xml:space="preserve">.  </w:t>
      </w:r>
    </w:p>
    <w:p w:rsidR="004B2DA8" w:rsidRDefault="004B2DA8" w:rsidP="005C09EC">
      <w:pPr>
        <w:spacing w:after="0"/>
        <w:jc w:val="both"/>
        <w:rPr>
          <w:rFonts w:ascii="DecimaWE Rg" w:hAnsi="DecimaWE Rg"/>
        </w:rPr>
      </w:pPr>
    </w:p>
    <w:p w:rsidR="004B2DA8" w:rsidRDefault="004B2DA8" w:rsidP="005C09EC">
      <w:pPr>
        <w:spacing w:after="0" w:line="240" w:lineRule="auto"/>
        <w:jc w:val="both"/>
        <w:rPr>
          <w:rFonts w:ascii="DecimaWE Rg" w:hAnsi="DecimaWE Rg"/>
          <w:i/>
          <w:sz w:val="20"/>
        </w:rPr>
      </w:pPr>
      <w:r>
        <w:rPr>
          <w:rFonts w:ascii="DecimaWE Rg" w:hAnsi="DecimaWE Rg"/>
          <w:i/>
          <w:sz w:val="20"/>
        </w:rPr>
        <w:t>Graf. 5</w:t>
      </w:r>
      <w:r w:rsidRPr="00344A13">
        <w:rPr>
          <w:rFonts w:ascii="DecimaWE Rg" w:hAnsi="DecimaWE Rg"/>
          <w:i/>
          <w:sz w:val="20"/>
        </w:rPr>
        <w:t xml:space="preserve"> – Distribuzione </w:t>
      </w:r>
      <w:r>
        <w:rPr>
          <w:rFonts w:ascii="DecimaWE Rg" w:hAnsi="DecimaWE Rg"/>
          <w:i/>
          <w:sz w:val="20"/>
        </w:rPr>
        <w:t>dei componenti i nuclei beneficiari per classe d’età (valore assoluto) e incidenza percentuale rispetto alla popolazione residente della stessa classe d’età</w:t>
      </w:r>
      <w:r w:rsidRPr="00344A13">
        <w:rPr>
          <w:rFonts w:ascii="DecimaWE Rg" w:hAnsi="DecimaWE Rg"/>
          <w:i/>
          <w:sz w:val="20"/>
        </w:rPr>
        <w:t xml:space="preserve">. </w:t>
      </w:r>
    </w:p>
    <w:p w:rsidR="004B2DA8" w:rsidRDefault="009F6CA2" w:rsidP="00533DB5">
      <w:pPr>
        <w:spacing w:after="0" w:line="240" w:lineRule="auto"/>
        <w:rPr>
          <w:rFonts w:ascii="DecimaWE Rg" w:hAnsi="DecimaWE Rg"/>
          <w:i/>
          <w:sz w:val="20"/>
        </w:rPr>
      </w:pPr>
      <w:r>
        <w:rPr>
          <w:rFonts w:ascii="DecimaWE Rg" w:hAnsi="DecimaWE Rg"/>
          <w:i/>
          <w:noProof/>
          <w:sz w:val="20"/>
          <w:lang w:eastAsia="it-IT"/>
        </w:rPr>
        <w:drawing>
          <wp:inline distT="0" distB="0" distL="0" distR="0" wp14:anchorId="3EA6DC31" wp14:editId="225A078A">
            <wp:extent cx="4341495" cy="2242185"/>
            <wp:effectExtent l="0" t="0" r="0" b="0"/>
            <wp:docPr id="7"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1495" cy="2242185"/>
                    </a:xfrm>
                    <a:prstGeom prst="rect">
                      <a:avLst/>
                    </a:prstGeom>
                    <a:noFill/>
                    <a:ln>
                      <a:noFill/>
                    </a:ln>
                  </pic:spPr>
                </pic:pic>
              </a:graphicData>
            </a:graphic>
          </wp:inline>
        </w:drawing>
      </w:r>
    </w:p>
    <w:p w:rsidR="004B2DA8" w:rsidRPr="00B151F0" w:rsidRDefault="004B2DA8" w:rsidP="005C09EC">
      <w:pPr>
        <w:spacing w:after="0"/>
        <w:jc w:val="both"/>
        <w:rPr>
          <w:rFonts w:ascii="DecimaWE Rg" w:hAnsi="DecimaWE Rg"/>
          <w:i/>
          <w:sz w:val="18"/>
        </w:rPr>
      </w:pPr>
      <w:r w:rsidRPr="00E14F1C">
        <w:rPr>
          <w:rFonts w:ascii="DecimaWE Rg" w:hAnsi="DecimaWE Rg"/>
          <w:i/>
          <w:sz w:val="18"/>
        </w:rPr>
        <w:t xml:space="preserve">Fonte: SIMIA domande dal 01/01/2017 al 31/12/2017, estrazione dati al 21/05/18. </w:t>
      </w:r>
      <w:proofErr w:type="spellStart"/>
      <w:r w:rsidRPr="00E14F1C">
        <w:rPr>
          <w:rFonts w:ascii="DecimaWE Rg" w:hAnsi="DecimaWE Rg"/>
          <w:i/>
          <w:sz w:val="18"/>
        </w:rPr>
        <w:t>DemoIstat</w:t>
      </w:r>
      <w:proofErr w:type="spellEnd"/>
      <w:r w:rsidRPr="00E14F1C">
        <w:rPr>
          <w:rFonts w:ascii="DecimaWE Rg" w:hAnsi="DecimaWE Rg"/>
          <w:i/>
          <w:sz w:val="18"/>
        </w:rPr>
        <w:t xml:space="preserve"> popolazione residente al 01.01.2017.</w:t>
      </w:r>
    </w:p>
    <w:p w:rsidR="004B2DA8" w:rsidRDefault="004B2DA8" w:rsidP="005C09EC">
      <w:pPr>
        <w:spacing w:after="0"/>
        <w:jc w:val="both"/>
        <w:rPr>
          <w:rFonts w:ascii="DecimaWE Rg" w:hAnsi="DecimaWE Rg"/>
        </w:rPr>
      </w:pPr>
    </w:p>
    <w:p w:rsidR="004B2DA8" w:rsidRDefault="004B2DA8" w:rsidP="005C09EC">
      <w:pPr>
        <w:spacing w:after="0"/>
        <w:jc w:val="both"/>
        <w:rPr>
          <w:rFonts w:ascii="DecimaWE Rg" w:hAnsi="DecimaWE Rg"/>
        </w:rPr>
      </w:pPr>
      <w:r>
        <w:rPr>
          <w:rFonts w:ascii="DecimaWE Rg" w:hAnsi="DecimaWE Rg"/>
        </w:rPr>
        <w:t>Ripartendo i</w:t>
      </w:r>
      <w:r w:rsidRPr="00344A13">
        <w:rPr>
          <w:rFonts w:ascii="DecimaWE Rg" w:hAnsi="DecimaWE Rg"/>
        </w:rPr>
        <w:t xml:space="preserve"> </w:t>
      </w:r>
      <w:r>
        <w:rPr>
          <w:rFonts w:ascii="DecimaWE Rg" w:hAnsi="DecimaWE Rg"/>
        </w:rPr>
        <w:t xml:space="preserve">nuclei </w:t>
      </w:r>
      <w:r w:rsidRPr="00344A13">
        <w:rPr>
          <w:rFonts w:ascii="DecimaWE Rg" w:hAnsi="DecimaWE Rg"/>
        </w:rPr>
        <w:t xml:space="preserve">beneficiari per numero di componenti </w:t>
      </w:r>
      <w:r>
        <w:rPr>
          <w:rFonts w:ascii="DecimaWE Rg" w:hAnsi="DecimaWE Rg"/>
        </w:rPr>
        <w:t>degli stessi</w:t>
      </w:r>
      <w:r w:rsidRPr="00344A13">
        <w:rPr>
          <w:rFonts w:ascii="DecimaWE Rg" w:hAnsi="DecimaWE Rg"/>
        </w:rPr>
        <w:t xml:space="preserve"> </w:t>
      </w:r>
      <w:r>
        <w:rPr>
          <w:rFonts w:ascii="DecimaWE Rg" w:hAnsi="DecimaWE Rg"/>
        </w:rPr>
        <w:t xml:space="preserve">si evidenzia che </w:t>
      </w:r>
      <w:r w:rsidRPr="00E07566">
        <w:rPr>
          <w:rFonts w:ascii="DecimaWE Rg" w:hAnsi="DecimaWE Rg"/>
        </w:rPr>
        <w:t xml:space="preserve">il </w:t>
      </w:r>
      <w:r>
        <w:rPr>
          <w:rFonts w:ascii="DecimaWE Rg" w:hAnsi="DecimaWE Rg"/>
        </w:rPr>
        <w:t>38</w:t>
      </w:r>
      <w:r w:rsidRPr="00E07566">
        <w:rPr>
          <w:rFonts w:ascii="DecimaWE Rg" w:hAnsi="DecimaWE Rg"/>
        </w:rPr>
        <w:t>% delle famiglie</w:t>
      </w:r>
      <w:r w:rsidRPr="00344A13">
        <w:rPr>
          <w:rFonts w:ascii="DecimaWE Rg" w:hAnsi="DecimaWE Rg"/>
        </w:rPr>
        <w:t xml:space="preserve"> </w:t>
      </w:r>
      <w:r>
        <w:rPr>
          <w:rFonts w:ascii="DecimaWE Rg" w:hAnsi="DecimaWE Rg"/>
        </w:rPr>
        <w:t xml:space="preserve">beneficiarie della misura è unipersonale (in sensibile aumento rispetto al monitoraggio riferito ai nuclei beneficiari 2015/2016, pari al 33%), </w:t>
      </w:r>
      <w:r w:rsidRPr="006D436A">
        <w:rPr>
          <w:rFonts w:ascii="DecimaWE Rg" w:hAnsi="DecimaWE Rg"/>
        </w:rPr>
        <w:t>con un maggior peso registrato nel territorio della provincia di Trieste (47% dei nuclei beneficiari è unipersonale), in Alto Friuli (dal 47% dell’UTI del Gemonese al 57% a quella del Canal del Ferro), nell’UTI del Natisone (45% dei nuclei unipersonali). Delle restanti famiglie beneficiarie il 19% risulta costituito da due componenti, il 30% da tre o quattro componenti e il 13% da</w:t>
      </w:r>
      <w:r w:rsidRPr="00344A13">
        <w:rPr>
          <w:rFonts w:ascii="DecimaWE Rg" w:hAnsi="DecimaWE Rg"/>
        </w:rPr>
        <w:t xml:space="preserve"> cinque e più componenti</w:t>
      </w:r>
      <w:r>
        <w:rPr>
          <w:rFonts w:ascii="DecimaWE Rg" w:hAnsi="DecimaWE Rg"/>
        </w:rPr>
        <w:t xml:space="preserve">; </w:t>
      </w:r>
      <w:r w:rsidRPr="00344A13">
        <w:rPr>
          <w:rFonts w:ascii="DecimaWE Rg" w:hAnsi="DecimaWE Rg"/>
        </w:rPr>
        <w:t>i nuclei più numerosi presentano maggiore incidenza nel pordenonese</w:t>
      </w:r>
      <w:r>
        <w:rPr>
          <w:rFonts w:ascii="DecimaWE Rg" w:hAnsi="DecimaWE Rg"/>
        </w:rPr>
        <w:t>.</w:t>
      </w:r>
    </w:p>
    <w:p w:rsidR="004B2DA8" w:rsidRDefault="004B2DA8" w:rsidP="005C09EC">
      <w:pPr>
        <w:spacing w:after="0"/>
        <w:jc w:val="both"/>
        <w:rPr>
          <w:rFonts w:ascii="DecimaWE Rg" w:hAnsi="DecimaWE Rg"/>
        </w:rPr>
      </w:pPr>
      <w:r w:rsidRPr="00344A13">
        <w:rPr>
          <w:rFonts w:ascii="DecimaWE Rg" w:hAnsi="DecimaWE Rg"/>
        </w:rPr>
        <w:t>I nuclei unipersonali sono solo in minima pa</w:t>
      </w:r>
      <w:r>
        <w:rPr>
          <w:rFonts w:ascii="DecimaWE Rg" w:hAnsi="DecimaWE Rg"/>
        </w:rPr>
        <w:t xml:space="preserve">rte rappresentati da </w:t>
      </w:r>
      <w:r w:rsidRPr="008B1ABE">
        <w:rPr>
          <w:rFonts w:ascii="DecimaWE Rg" w:hAnsi="DecimaWE Rg"/>
        </w:rPr>
        <w:t>anziani (12%); la</w:t>
      </w:r>
      <w:r w:rsidRPr="00344A13">
        <w:rPr>
          <w:rFonts w:ascii="DecimaWE Rg" w:hAnsi="DecimaWE Rg"/>
        </w:rPr>
        <w:t xml:space="preserve"> maggior part</w:t>
      </w:r>
      <w:r>
        <w:rPr>
          <w:rFonts w:ascii="DecimaWE Rg" w:hAnsi="DecimaWE Rg"/>
        </w:rPr>
        <w:t>e è costituita</w:t>
      </w:r>
      <w:r w:rsidRPr="00344A13">
        <w:rPr>
          <w:rFonts w:ascii="DecimaWE Rg" w:hAnsi="DecimaWE Rg"/>
        </w:rPr>
        <w:t xml:space="preserve"> da </w:t>
      </w:r>
      <w:r>
        <w:rPr>
          <w:rFonts w:ascii="DecimaWE Rg" w:hAnsi="DecimaWE Rg"/>
        </w:rPr>
        <w:t xml:space="preserve">persone sole, </w:t>
      </w:r>
      <w:r w:rsidRPr="00344A13">
        <w:rPr>
          <w:rFonts w:ascii="DecimaWE Rg" w:hAnsi="DecimaWE Rg"/>
        </w:rPr>
        <w:t>disoccupa</w:t>
      </w:r>
      <w:r>
        <w:rPr>
          <w:rFonts w:ascii="DecimaWE Rg" w:hAnsi="DecimaWE Rg"/>
        </w:rPr>
        <w:t>te e,</w:t>
      </w:r>
      <w:r w:rsidRPr="00344A13">
        <w:rPr>
          <w:rFonts w:ascii="DecimaWE Rg" w:hAnsi="DecimaWE Rg"/>
        </w:rPr>
        <w:t xml:space="preserve"> in prevalenza</w:t>
      </w:r>
      <w:r>
        <w:rPr>
          <w:rFonts w:ascii="DecimaWE Rg" w:hAnsi="DecimaWE Rg"/>
        </w:rPr>
        <w:t xml:space="preserve">, dai 45 anni in su (38%); sono inoltre prevalentemente </w:t>
      </w:r>
      <w:r w:rsidRPr="00344A13">
        <w:rPr>
          <w:rFonts w:ascii="DecimaWE Rg" w:hAnsi="DecimaWE Rg"/>
        </w:rPr>
        <w:t>di sesso maschile</w:t>
      </w:r>
      <w:r>
        <w:rPr>
          <w:rFonts w:ascii="DecimaWE Rg" w:hAnsi="DecimaWE Rg"/>
        </w:rPr>
        <w:t xml:space="preserve"> (58%) e di cittadinanza italiana (88%)</w:t>
      </w:r>
      <w:r w:rsidRPr="00344A13">
        <w:rPr>
          <w:rFonts w:ascii="DecimaWE Rg" w:hAnsi="DecimaWE Rg"/>
        </w:rPr>
        <w:t>.</w:t>
      </w:r>
    </w:p>
    <w:p w:rsidR="004B2DA8" w:rsidRPr="00344A13" w:rsidRDefault="004B2DA8" w:rsidP="005C09EC">
      <w:pPr>
        <w:spacing w:after="0"/>
        <w:jc w:val="both"/>
        <w:rPr>
          <w:rFonts w:ascii="DecimaWE Rg" w:hAnsi="DecimaWE Rg"/>
        </w:rPr>
      </w:pPr>
      <w:r w:rsidRPr="00344A13">
        <w:rPr>
          <w:rFonts w:ascii="DecimaWE Rg" w:hAnsi="DecimaWE Rg"/>
        </w:rPr>
        <w:t xml:space="preserve">Nel complesso, tra i nuclei beneficiari prevalgono le famiglie con figli, che </w:t>
      </w:r>
      <w:r w:rsidRPr="00E07566">
        <w:rPr>
          <w:rFonts w:ascii="DecimaWE Rg" w:hAnsi="DecimaWE Rg"/>
        </w:rPr>
        <w:t>rappresentano il 53% del totale dei nuclei beneficiari (5.073 nuclei); di queste l’82% (4.144 nuclei) ha al suo interno alme</w:t>
      </w:r>
      <w:r w:rsidRPr="00344A13">
        <w:rPr>
          <w:rFonts w:ascii="DecimaWE Rg" w:hAnsi="DecimaWE Rg"/>
        </w:rPr>
        <w:t>no un figl</w:t>
      </w:r>
      <w:r>
        <w:rPr>
          <w:rFonts w:ascii="DecimaWE Rg" w:hAnsi="DecimaWE Rg"/>
        </w:rPr>
        <w:t xml:space="preserve">io minorenne. Si stima inoltre che il </w:t>
      </w:r>
      <w:r w:rsidRPr="008B1ABE">
        <w:rPr>
          <w:rFonts w:ascii="DecimaWE Rg" w:hAnsi="DecimaWE Rg"/>
        </w:rPr>
        <w:t>18%</w:t>
      </w:r>
      <w:r>
        <w:rPr>
          <w:rFonts w:ascii="DecimaWE Rg" w:hAnsi="DecimaWE Rg"/>
        </w:rPr>
        <w:t xml:space="preserve"> circa delle famiglie con figli siano nuclei </w:t>
      </w:r>
      <w:proofErr w:type="spellStart"/>
      <w:r>
        <w:rPr>
          <w:rFonts w:ascii="DecimaWE Rg" w:hAnsi="DecimaWE Rg"/>
        </w:rPr>
        <w:t>monogenitoriali</w:t>
      </w:r>
      <w:proofErr w:type="spellEnd"/>
      <w:r>
        <w:rPr>
          <w:rFonts w:ascii="DecimaWE Rg" w:hAnsi="DecimaWE Rg"/>
        </w:rPr>
        <w:t xml:space="preserve">. Seguono i nuclei unipersonali </w:t>
      </w:r>
      <w:r w:rsidRPr="00E07566">
        <w:rPr>
          <w:rFonts w:ascii="DecimaWE Rg" w:hAnsi="DecimaWE Rg"/>
        </w:rPr>
        <w:t>(38%), mentre il restante 9% dei nuclei</w:t>
      </w:r>
      <w:r>
        <w:rPr>
          <w:rFonts w:ascii="DecimaWE Rg" w:hAnsi="DecimaWE Rg"/>
        </w:rPr>
        <w:t xml:space="preserve"> beneficiari è costituito da famiglie senza figli. </w:t>
      </w:r>
    </w:p>
    <w:p w:rsidR="004B2DA8" w:rsidRDefault="004B2DA8" w:rsidP="005C09EC">
      <w:pPr>
        <w:spacing w:after="0"/>
        <w:jc w:val="both"/>
        <w:rPr>
          <w:rFonts w:ascii="DecimaWE Rg" w:hAnsi="DecimaWE Rg"/>
        </w:rPr>
      </w:pPr>
      <w:r w:rsidRPr="00344A13">
        <w:rPr>
          <w:rFonts w:ascii="DecimaWE Rg" w:hAnsi="DecimaWE Rg"/>
        </w:rPr>
        <w:t>Le famiglie con due o più figli</w:t>
      </w:r>
      <w:r>
        <w:rPr>
          <w:rFonts w:ascii="DecimaWE Rg" w:hAnsi="DecimaWE Rg"/>
        </w:rPr>
        <w:t xml:space="preserve">, che a livello regionale rappresentano il </w:t>
      </w:r>
      <w:r w:rsidRPr="00FE2570">
        <w:rPr>
          <w:rFonts w:ascii="DecimaWE Rg" w:hAnsi="DecimaWE Rg"/>
        </w:rPr>
        <w:t>31%</w:t>
      </w:r>
      <w:r>
        <w:rPr>
          <w:rFonts w:ascii="DecimaWE Rg" w:hAnsi="DecimaWE Rg"/>
        </w:rPr>
        <w:t xml:space="preserve"> dei nuclei beneficiari,</w:t>
      </w:r>
      <w:r w:rsidRPr="00344A13">
        <w:rPr>
          <w:rFonts w:ascii="DecimaWE Rg" w:hAnsi="DecimaWE Rg"/>
        </w:rPr>
        <w:t xml:space="preserve"> ris</w:t>
      </w:r>
      <w:r>
        <w:rPr>
          <w:rFonts w:ascii="DecimaWE Rg" w:hAnsi="DecimaWE Rg"/>
        </w:rPr>
        <w:t xml:space="preserve">ultano avere una maggiore incidenza </w:t>
      </w:r>
      <w:r w:rsidRPr="00344A13">
        <w:rPr>
          <w:rFonts w:ascii="DecimaWE Rg" w:hAnsi="DecimaWE Rg"/>
        </w:rPr>
        <w:t>nei territori del Pordenonese</w:t>
      </w:r>
      <w:r>
        <w:rPr>
          <w:rFonts w:ascii="DecimaWE Rg" w:hAnsi="DecimaWE Rg"/>
        </w:rPr>
        <w:t>, dove raggiungono la quota del 47% nell’UTI Sile e Meduna e</w:t>
      </w:r>
      <w:r w:rsidR="00084273">
        <w:rPr>
          <w:rFonts w:ascii="DecimaWE Rg" w:hAnsi="DecimaWE Rg"/>
        </w:rPr>
        <w:t xml:space="preserve"> del 48% nell’UTI del </w:t>
      </w:r>
      <w:proofErr w:type="spellStart"/>
      <w:r w:rsidR="00084273">
        <w:rPr>
          <w:rFonts w:ascii="DecimaWE Rg" w:hAnsi="DecimaWE Rg"/>
        </w:rPr>
        <w:t>Noncello</w:t>
      </w:r>
      <w:proofErr w:type="spellEnd"/>
      <w:r w:rsidR="00084273">
        <w:rPr>
          <w:rFonts w:ascii="DecimaWE Rg" w:hAnsi="DecimaWE Rg"/>
        </w:rPr>
        <w:t>.</w:t>
      </w:r>
    </w:p>
    <w:p w:rsidR="004B2DA8" w:rsidRDefault="004B2DA8" w:rsidP="005C09EC">
      <w:pPr>
        <w:spacing w:after="0" w:line="240" w:lineRule="auto"/>
        <w:jc w:val="both"/>
        <w:rPr>
          <w:rFonts w:ascii="DecimaWE Rg" w:hAnsi="DecimaWE Rg"/>
          <w:i/>
          <w:sz w:val="20"/>
        </w:rPr>
      </w:pPr>
      <w:r>
        <w:rPr>
          <w:rFonts w:ascii="DecimaWE Rg" w:hAnsi="DecimaWE Rg"/>
          <w:i/>
          <w:sz w:val="20"/>
        </w:rPr>
        <w:lastRenderedPageBreak/>
        <w:t xml:space="preserve">Graf. 6 – Distribuzione dei nuclei beneficiari </w:t>
      </w:r>
      <w:r w:rsidR="00E94D78">
        <w:rPr>
          <w:rFonts w:ascii="DecimaWE Rg" w:hAnsi="DecimaWE Rg"/>
          <w:i/>
          <w:sz w:val="20"/>
        </w:rPr>
        <w:t xml:space="preserve">(tot. 9.522) </w:t>
      </w:r>
      <w:r>
        <w:rPr>
          <w:rFonts w:ascii="DecimaWE Rg" w:hAnsi="DecimaWE Rg"/>
          <w:i/>
          <w:sz w:val="20"/>
        </w:rPr>
        <w:t>per tipologia di famiglia e numero di figli</w:t>
      </w:r>
      <w:r w:rsidRPr="00344A13">
        <w:rPr>
          <w:rFonts w:ascii="DecimaWE Rg" w:hAnsi="DecimaWE Rg"/>
          <w:i/>
          <w:sz w:val="20"/>
        </w:rPr>
        <w:t xml:space="preserve">. </w:t>
      </w:r>
    </w:p>
    <w:p w:rsidR="004B2DA8" w:rsidRDefault="009F6CA2" w:rsidP="005C09EC">
      <w:pPr>
        <w:spacing w:after="0" w:line="240" w:lineRule="auto"/>
        <w:jc w:val="both"/>
        <w:rPr>
          <w:rFonts w:ascii="DecimaWE Rg" w:hAnsi="DecimaWE Rg"/>
          <w:i/>
          <w:sz w:val="20"/>
        </w:rPr>
      </w:pPr>
      <w:r>
        <w:rPr>
          <w:rFonts w:ascii="DecimaWE Rg" w:hAnsi="DecimaWE Rg"/>
          <w:i/>
          <w:noProof/>
          <w:sz w:val="20"/>
          <w:lang w:eastAsia="it-IT"/>
        </w:rPr>
        <w:drawing>
          <wp:inline distT="0" distB="0" distL="0" distR="0" wp14:anchorId="72DFF466" wp14:editId="14AFE0E6">
            <wp:extent cx="4429125" cy="2258060"/>
            <wp:effectExtent l="0" t="0" r="0" b="0"/>
            <wp:docPr id="8"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9125" cy="2258060"/>
                    </a:xfrm>
                    <a:prstGeom prst="rect">
                      <a:avLst/>
                    </a:prstGeom>
                    <a:noFill/>
                    <a:ln>
                      <a:noFill/>
                    </a:ln>
                  </pic:spPr>
                </pic:pic>
              </a:graphicData>
            </a:graphic>
          </wp:inline>
        </w:drawing>
      </w:r>
    </w:p>
    <w:p w:rsidR="004B2DA8" w:rsidRDefault="004B2DA8" w:rsidP="005C09EC">
      <w:pPr>
        <w:spacing w:after="0"/>
        <w:jc w:val="both"/>
        <w:rPr>
          <w:rFonts w:ascii="DecimaWE Rg" w:hAnsi="DecimaWE Rg"/>
          <w:i/>
          <w:sz w:val="18"/>
        </w:rPr>
      </w:pPr>
      <w:r w:rsidRPr="00E14F1C">
        <w:rPr>
          <w:rFonts w:ascii="DecimaWE Rg" w:hAnsi="DecimaWE Rg"/>
          <w:i/>
          <w:sz w:val="18"/>
        </w:rPr>
        <w:t xml:space="preserve">Fonte: SIMIA domande dal 01/01/2017 al 31/12/2017, estrazione dati al 21/05/18. </w:t>
      </w:r>
    </w:p>
    <w:p w:rsidR="004B2DA8" w:rsidRDefault="004B2DA8" w:rsidP="005C09EC">
      <w:pPr>
        <w:spacing w:after="0"/>
        <w:jc w:val="both"/>
        <w:rPr>
          <w:rFonts w:ascii="DecimaWE Rg" w:hAnsi="DecimaWE Rg"/>
          <w:i/>
          <w:sz w:val="18"/>
        </w:rPr>
      </w:pPr>
    </w:p>
    <w:p w:rsidR="004B2DA8" w:rsidRDefault="004B2DA8" w:rsidP="005C09EC">
      <w:pPr>
        <w:spacing w:after="0"/>
        <w:jc w:val="both"/>
        <w:rPr>
          <w:rFonts w:ascii="DecimaWE Rg" w:hAnsi="DecimaWE Rg"/>
        </w:rPr>
      </w:pPr>
      <w:r w:rsidRPr="00A70507">
        <w:rPr>
          <w:rFonts w:ascii="DecimaWE Rg" w:hAnsi="DecimaWE Rg"/>
        </w:rPr>
        <w:t>I nuclei beneficiari risultano per la maggior parte italiani (63%); il restante 37</w:t>
      </w:r>
      <w:r>
        <w:rPr>
          <w:rFonts w:ascii="DecimaWE Rg" w:hAnsi="DecimaWE Rg"/>
        </w:rPr>
        <w:t>% delle famiglie</w:t>
      </w:r>
      <w:r w:rsidRPr="00A70507">
        <w:rPr>
          <w:rFonts w:ascii="DecimaWE Rg" w:hAnsi="DecimaWE Rg"/>
        </w:rPr>
        <w:t xml:space="preserve"> ha al proprio interno almeno un componente con cittadinanza straniera (il 25% è composto esclusivamente da cittadini stranieri). I nuclei</w:t>
      </w:r>
      <w:r>
        <w:rPr>
          <w:rFonts w:ascii="DecimaWE Rg" w:hAnsi="DecimaWE Rg"/>
        </w:rPr>
        <w:t xml:space="preserve"> con </w:t>
      </w:r>
      <w:r w:rsidRPr="00FB3380">
        <w:rPr>
          <w:rFonts w:ascii="DecimaWE Rg" w:hAnsi="DecimaWE Rg"/>
        </w:rPr>
        <w:t>almeno uno straniero risultano maggioritari solo in alcu</w:t>
      </w:r>
      <w:r>
        <w:rPr>
          <w:rFonts w:ascii="DecimaWE Rg" w:hAnsi="DecimaWE Rg"/>
        </w:rPr>
        <w:t>ni territori del pordenonese,</w:t>
      </w:r>
      <w:r w:rsidRPr="00FB3380">
        <w:rPr>
          <w:rFonts w:ascii="DecimaWE Rg" w:hAnsi="DecimaWE Rg"/>
        </w:rPr>
        <w:t xml:space="preserve"> in particolare nell’UTI del Noncello (58%) e in quella del Sile Meduna (51%). Raggiungono la quota del 50% nell’UTI Tagliamento e del 45% nelle UTI Del Friuli Centrale e del Livenza </w:t>
      </w:r>
      <w:proofErr w:type="spellStart"/>
      <w:r w:rsidRPr="00FB3380">
        <w:rPr>
          <w:rFonts w:ascii="DecimaWE Rg" w:hAnsi="DecimaWE Rg"/>
        </w:rPr>
        <w:t>Cansiglio</w:t>
      </w:r>
      <w:proofErr w:type="spellEnd"/>
      <w:r w:rsidRPr="00FB3380">
        <w:rPr>
          <w:rFonts w:ascii="DecimaWE Rg" w:hAnsi="DecimaWE Rg"/>
        </w:rPr>
        <w:t xml:space="preserve"> Cavallo.</w:t>
      </w:r>
      <w:r>
        <w:rPr>
          <w:rFonts w:ascii="DecimaWE Rg" w:hAnsi="DecimaWE Rg"/>
        </w:rPr>
        <w:t xml:space="preserve"> </w:t>
      </w:r>
    </w:p>
    <w:p w:rsidR="004B2DA8" w:rsidRDefault="004B2DA8" w:rsidP="005C09EC">
      <w:pPr>
        <w:spacing w:after="0"/>
        <w:jc w:val="both"/>
        <w:rPr>
          <w:rFonts w:ascii="DecimaWE Rg" w:hAnsi="DecimaWE Rg"/>
        </w:rPr>
      </w:pPr>
      <w:r>
        <w:rPr>
          <w:rFonts w:ascii="DecimaWE Rg" w:hAnsi="DecimaWE Rg"/>
        </w:rPr>
        <w:t xml:space="preserve">Facendo riferimento </w:t>
      </w:r>
      <w:r w:rsidRPr="00961A53">
        <w:rPr>
          <w:rFonts w:ascii="DecimaWE Rg" w:hAnsi="DecimaWE Rg"/>
        </w:rPr>
        <w:t>al complesso dei componenti si può osservare che il 58% delle persone interessate dalla misura risulta avere la cittadinanza italiana (con un incremento di 5 punti percentuali rispetto a quanto rilevato nel precedente monitoraggio); se consideriamo il paese di nascita dei componenti la percentuale di nati in Italia sale al 60% (degli oltre 3.400 minori con cittadinanza straniera interessati dalla misura – pari al 45% dei minori coinvolti nel periodo di riferimento - il 74% risulta nato in Italia).</w:t>
      </w:r>
      <w:r>
        <w:rPr>
          <w:rFonts w:ascii="DecimaWE Rg" w:hAnsi="DecimaWE Rg"/>
        </w:rPr>
        <w:t xml:space="preserve"> </w:t>
      </w:r>
    </w:p>
    <w:p w:rsidR="004B2DA8" w:rsidRDefault="004B2DA8" w:rsidP="005C09EC">
      <w:pPr>
        <w:spacing w:after="0"/>
        <w:jc w:val="both"/>
        <w:rPr>
          <w:rFonts w:ascii="DecimaWE Rg" w:hAnsi="DecimaWE Rg"/>
        </w:rPr>
      </w:pPr>
      <w:r>
        <w:rPr>
          <w:rFonts w:ascii="DecimaWE Rg" w:hAnsi="DecimaWE Rg"/>
        </w:rPr>
        <w:t xml:space="preserve">Coerentemente con la struttura anagrafica della popolazione straniera, i beneficiari con cittadinanza non italiana </w:t>
      </w:r>
      <w:r w:rsidRPr="00961A53">
        <w:rPr>
          <w:rFonts w:ascii="DecimaWE Rg" w:hAnsi="DecimaWE Rg"/>
        </w:rPr>
        <w:t>risultano mediamente più giovani</w:t>
      </w:r>
      <w:r>
        <w:rPr>
          <w:rFonts w:ascii="DecimaWE Rg" w:hAnsi="DecimaWE Rg"/>
        </w:rPr>
        <w:t xml:space="preserve"> (29 anni in media con i 35 anni in media del totale)</w:t>
      </w:r>
      <w:r w:rsidRPr="00961A53">
        <w:rPr>
          <w:rFonts w:ascii="DecimaWE Rg" w:hAnsi="DecimaWE Rg"/>
        </w:rPr>
        <w:t xml:space="preserve"> e i nuclei familiari di riferimento sono più numerosi (3,5 componenti per nucleo in media contro i 2,5 riferiti al totale dei nuclei ) e con un numero medio di figli maggiore (1,6 figli per nucleo contro 1,0 di media complessiva).</w:t>
      </w:r>
      <w:r>
        <w:rPr>
          <w:rFonts w:ascii="DecimaWE Rg" w:hAnsi="DecimaWE Rg"/>
        </w:rPr>
        <w:t xml:space="preserve"> </w:t>
      </w:r>
    </w:p>
    <w:p w:rsidR="004B2DA8" w:rsidRDefault="004B2DA8" w:rsidP="005C09EC">
      <w:pPr>
        <w:spacing w:after="0"/>
        <w:jc w:val="both"/>
        <w:rPr>
          <w:rFonts w:ascii="DecimaWE Rg" w:hAnsi="DecimaWE Rg"/>
        </w:rPr>
      </w:pPr>
    </w:p>
    <w:p w:rsidR="004B2DA8" w:rsidRDefault="004B2DA8" w:rsidP="005C09EC">
      <w:pPr>
        <w:spacing w:after="0" w:line="240" w:lineRule="auto"/>
        <w:jc w:val="both"/>
        <w:rPr>
          <w:rFonts w:ascii="DecimaWE Rg" w:hAnsi="DecimaWE Rg"/>
          <w:i/>
          <w:sz w:val="20"/>
        </w:rPr>
      </w:pPr>
      <w:r>
        <w:rPr>
          <w:rFonts w:ascii="DecimaWE Rg" w:hAnsi="DecimaWE Rg"/>
          <w:i/>
          <w:sz w:val="20"/>
        </w:rPr>
        <w:t>Graf. 7</w:t>
      </w:r>
      <w:r w:rsidRPr="00344A13">
        <w:rPr>
          <w:rFonts w:ascii="DecimaWE Rg" w:hAnsi="DecimaWE Rg"/>
          <w:i/>
          <w:sz w:val="20"/>
        </w:rPr>
        <w:t xml:space="preserve"> – Distribuzione </w:t>
      </w:r>
      <w:r>
        <w:rPr>
          <w:rFonts w:ascii="DecimaWE Rg" w:hAnsi="DecimaWE Rg"/>
          <w:i/>
          <w:sz w:val="20"/>
        </w:rPr>
        <w:t xml:space="preserve">percentuale dei componenti </w:t>
      </w:r>
      <w:r w:rsidR="00E94D78">
        <w:rPr>
          <w:rFonts w:ascii="DecimaWE Rg" w:hAnsi="DecimaWE Rg"/>
          <w:i/>
          <w:sz w:val="20"/>
        </w:rPr>
        <w:t>de</w:t>
      </w:r>
      <w:r>
        <w:rPr>
          <w:rFonts w:ascii="DecimaWE Rg" w:hAnsi="DecimaWE Rg"/>
          <w:i/>
          <w:sz w:val="20"/>
        </w:rPr>
        <w:t>i nuclei beneficiari (tot. 24.132) per cittadinanza e classe d’età.</w:t>
      </w:r>
      <w:r w:rsidRPr="00344A13">
        <w:rPr>
          <w:rFonts w:ascii="DecimaWE Rg" w:hAnsi="DecimaWE Rg"/>
          <w:i/>
          <w:sz w:val="20"/>
        </w:rPr>
        <w:t xml:space="preserve">. </w:t>
      </w:r>
    </w:p>
    <w:p w:rsidR="004B2DA8" w:rsidRDefault="009F6CA2" w:rsidP="005C09EC">
      <w:pPr>
        <w:spacing w:after="0" w:line="240" w:lineRule="auto"/>
        <w:jc w:val="both"/>
        <w:rPr>
          <w:rFonts w:ascii="DecimaWE Rg" w:hAnsi="DecimaWE Rg"/>
          <w:i/>
          <w:sz w:val="20"/>
        </w:rPr>
      </w:pPr>
      <w:r>
        <w:rPr>
          <w:rFonts w:ascii="DecimaWE Rg" w:hAnsi="DecimaWE Rg"/>
          <w:i/>
          <w:noProof/>
          <w:sz w:val="20"/>
          <w:lang w:eastAsia="it-IT"/>
        </w:rPr>
        <w:drawing>
          <wp:inline distT="0" distB="0" distL="0" distR="0" wp14:anchorId="3A5383FD" wp14:editId="30FB4FBC">
            <wp:extent cx="5231765" cy="2106930"/>
            <wp:effectExtent l="0" t="0" r="0" b="0"/>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1765" cy="2106930"/>
                    </a:xfrm>
                    <a:prstGeom prst="rect">
                      <a:avLst/>
                    </a:prstGeom>
                    <a:noFill/>
                    <a:ln>
                      <a:noFill/>
                    </a:ln>
                  </pic:spPr>
                </pic:pic>
              </a:graphicData>
            </a:graphic>
          </wp:inline>
        </w:drawing>
      </w:r>
    </w:p>
    <w:p w:rsidR="004B2DA8" w:rsidRDefault="004B2DA8" w:rsidP="005C09EC">
      <w:pPr>
        <w:spacing w:after="0"/>
        <w:jc w:val="both"/>
        <w:rPr>
          <w:rFonts w:ascii="DecimaWE Rg" w:hAnsi="DecimaWE Rg"/>
          <w:i/>
          <w:sz w:val="18"/>
        </w:rPr>
      </w:pPr>
      <w:r w:rsidRPr="00344A13">
        <w:rPr>
          <w:rFonts w:ascii="DecimaWE Rg" w:hAnsi="DecimaWE Rg"/>
          <w:i/>
          <w:sz w:val="18"/>
        </w:rPr>
        <w:t>Fonte: SI</w:t>
      </w:r>
      <w:r>
        <w:rPr>
          <w:rFonts w:ascii="DecimaWE Rg" w:hAnsi="DecimaWE Rg"/>
          <w:i/>
          <w:sz w:val="18"/>
        </w:rPr>
        <w:t xml:space="preserve">MIA domande </w:t>
      </w:r>
      <w:r w:rsidRPr="00F95650">
        <w:rPr>
          <w:rFonts w:ascii="DecimaWE Rg" w:hAnsi="DecimaWE Rg"/>
          <w:i/>
          <w:sz w:val="18"/>
        </w:rPr>
        <w:t>dal 01/01/2017 al 31/12/2017</w:t>
      </w:r>
      <w:r>
        <w:rPr>
          <w:rFonts w:ascii="DecimaWE Rg" w:hAnsi="DecimaWE Rg"/>
          <w:i/>
          <w:sz w:val="18"/>
        </w:rPr>
        <w:t xml:space="preserve"> </w:t>
      </w:r>
      <w:r w:rsidRPr="00E14F1C">
        <w:rPr>
          <w:rFonts w:ascii="DecimaWE Rg" w:hAnsi="DecimaWE Rg"/>
          <w:i/>
          <w:sz w:val="18"/>
        </w:rPr>
        <w:t xml:space="preserve">estrazione dati al 21/05/18. </w:t>
      </w:r>
    </w:p>
    <w:p w:rsidR="004B2DA8" w:rsidRDefault="004B2DA8" w:rsidP="005C09EC">
      <w:pPr>
        <w:spacing w:after="0"/>
        <w:jc w:val="both"/>
        <w:rPr>
          <w:rFonts w:ascii="DecimaWE Rg" w:hAnsi="DecimaWE Rg"/>
        </w:rPr>
      </w:pPr>
    </w:p>
    <w:p w:rsidR="004B2DA8" w:rsidRDefault="004B2DA8" w:rsidP="005C09EC">
      <w:pPr>
        <w:spacing w:after="0"/>
        <w:jc w:val="both"/>
        <w:rPr>
          <w:rFonts w:ascii="DecimaWE Rg" w:hAnsi="DecimaWE Rg"/>
        </w:rPr>
      </w:pPr>
      <w:r w:rsidRPr="00BF3BAD">
        <w:rPr>
          <w:rFonts w:ascii="DecimaWE Rg" w:hAnsi="DecimaWE Rg"/>
        </w:rPr>
        <w:t xml:space="preserve">Il valore medio degli ISEE di accesso è </w:t>
      </w:r>
      <w:r w:rsidRPr="00863E7C">
        <w:rPr>
          <w:rFonts w:ascii="DecimaWE Rg" w:hAnsi="DecimaWE Rg"/>
        </w:rPr>
        <w:t>di 2.425,4</w:t>
      </w:r>
      <w:r>
        <w:rPr>
          <w:rFonts w:ascii="DecimaWE Rg" w:hAnsi="DecimaWE Rg"/>
        </w:rPr>
        <w:t xml:space="preserve"> </w:t>
      </w:r>
      <w:r w:rsidRPr="00863E7C">
        <w:rPr>
          <w:rFonts w:ascii="DecimaWE Rg" w:hAnsi="DecimaWE Rg"/>
        </w:rPr>
        <w:t>€. La distribuzione</w:t>
      </w:r>
      <w:r w:rsidRPr="00BF3BAD">
        <w:rPr>
          <w:rFonts w:ascii="DecimaWE Rg" w:hAnsi="DecimaWE Rg"/>
        </w:rPr>
        <w:t xml:space="preserve"> dei nuclei per fascia d’ISEE all’atto di presentazione della domanda evidenzia che il 59% dei nuclei si colloca al di sotto dei 3.000 euro, il 27% si colloca tra i 3.000 e i 5.000 euro e la restante quota del 14% tra i 5.000 e i 6.000. Sono 3.309 i nuclei con un ISEE al di sotto dei mille euro, per </w:t>
      </w:r>
      <w:r w:rsidRPr="00863E7C">
        <w:rPr>
          <w:rFonts w:ascii="DecimaWE Rg" w:hAnsi="DecimaWE Rg"/>
        </w:rPr>
        <w:t>oltre la metà dei casi</w:t>
      </w:r>
      <w:r w:rsidRPr="00BF3BAD">
        <w:rPr>
          <w:rFonts w:ascii="DecimaWE Rg" w:hAnsi="DecimaWE Rg"/>
        </w:rPr>
        <w:t xml:space="preserve"> si tratta di nuclei unipersonali.</w:t>
      </w:r>
    </w:p>
    <w:p w:rsidR="004B2DA8" w:rsidRPr="00F13C9C" w:rsidRDefault="004B2DA8" w:rsidP="005C09EC">
      <w:pPr>
        <w:spacing w:after="0"/>
        <w:jc w:val="both"/>
        <w:rPr>
          <w:rFonts w:ascii="DecimaWE Rg" w:hAnsi="DecimaWE Rg"/>
        </w:rPr>
      </w:pPr>
      <w:r w:rsidRPr="00344A13">
        <w:rPr>
          <w:rFonts w:ascii="DecimaWE Rg" w:hAnsi="DecimaWE Rg"/>
        </w:rPr>
        <w:lastRenderedPageBreak/>
        <w:t>I nuclei beneficiari che presentano al loro interno un componente con disabilità</w:t>
      </w:r>
      <w:r w:rsidRPr="00344A13">
        <w:rPr>
          <w:rStyle w:val="Rimandonotaapidipagina"/>
          <w:rFonts w:ascii="DecimaWE Rg" w:hAnsi="DecimaWE Rg"/>
        </w:rPr>
        <w:footnoteReference w:id="18"/>
      </w:r>
      <w:r w:rsidRPr="00344A13">
        <w:rPr>
          <w:rFonts w:ascii="DecimaWE Rg" w:hAnsi="DecimaWE Rg"/>
        </w:rPr>
        <w:t xml:space="preserve"> risultano </w:t>
      </w:r>
      <w:r w:rsidRPr="00A12B82">
        <w:rPr>
          <w:rFonts w:ascii="DecimaWE Rg" w:hAnsi="DecimaWE Rg"/>
        </w:rPr>
        <w:t>il 15% del totale</w:t>
      </w:r>
      <w:r w:rsidRPr="00344A13">
        <w:rPr>
          <w:rFonts w:ascii="DecimaWE Rg" w:hAnsi="DecimaWE Rg"/>
        </w:rPr>
        <w:t xml:space="preserve">, per </w:t>
      </w:r>
      <w:r w:rsidRPr="00F13C9C">
        <w:rPr>
          <w:rFonts w:ascii="DecimaWE Rg" w:hAnsi="DecimaWE Rg"/>
        </w:rPr>
        <w:t>complessive 1.571 persone con disabilità, di cui 258 minori.</w:t>
      </w:r>
    </w:p>
    <w:p w:rsidR="004B2DA8" w:rsidRPr="00F13C9C" w:rsidRDefault="004B2DA8" w:rsidP="005C09EC">
      <w:pPr>
        <w:spacing w:after="0"/>
        <w:jc w:val="both"/>
        <w:rPr>
          <w:rFonts w:ascii="DecimaWE Rg" w:hAnsi="DecimaWE Rg"/>
        </w:rPr>
      </w:pPr>
    </w:p>
    <w:p w:rsidR="004B2DA8" w:rsidRPr="00F13C9C" w:rsidRDefault="004B2DA8" w:rsidP="005C09EC">
      <w:pPr>
        <w:spacing w:after="0"/>
        <w:jc w:val="both"/>
        <w:rPr>
          <w:rFonts w:ascii="DecimaWE Rg" w:hAnsi="DecimaWE Rg"/>
        </w:rPr>
      </w:pPr>
      <w:r w:rsidRPr="00F13C9C">
        <w:rPr>
          <w:rFonts w:ascii="DecimaWE Rg" w:hAnsi="DecimaWE Rg"/>
        </w:rPr>
        <w:t>La distribuzione per condizione professionale</w:t>
      </w:r>
      <w:r w:rsidRPr="00F13C9C">
        <w:rPr>
          <w:rStyle w:val="Rimandonotaapidipagina"/>
          <w:rFonts w:ascii="DecimaWE Rg" w:hAnsi="DecimaWE Rg"/>
        </w:rPr>
        <w:footnoteReference w:id="19"/>
      </w:r>
      <w:r w:rsidRPr="00F13C9C">
        <w:rPr>
          <w:rFonts w:ascii="DecimaWE Rg" w:hAnsi="DecimaWE Rg"/>
        </w:rPr>
        <w:t xml:space="preserve"> di seguito riportata si riferisce ai soli componenti in età da lavoro (15-64 anni)</w:t>
      </w:r>
      <w:r w:rsidRPr="00F13C9C">
        <w:rPr>
          <w:rStyle w:val="Rimandonotaapidipagina"/>
          <w:rFonts w:ascii="DecimaWE Rg" w:hAnsi="DecimaWE Rg"/>
        </w:rPr>
        <w:footnoteReference w:id="20"/>
      </w:r>
      <w:r w:rsidRPr="00F13C9C">
        <w:rPr>
          <w:rFonts w:ascii="DecimaWE Rg" w:hAnsi="DecimaWE Rg"/>
        </w:rPr>
        <w:t>. La quota più significativa è rappresentata dai disoccupati (40%). Gli occupati rappresentano il 30%; la casalinghe il 12%; i pensionati il 2,7%. La categoria “altro” che rappresenta una quota pari quasi all’8% dei componenti in età da lavoro, si può stimare in buona parte sovrapponibile alla categoria dei NEET (</w:t>
      </w:r>
      <w:proofErr w:type="spellStart"/>
      <w:r w:rsidRPr="00F13C9C">
        <w:rPr>
          <w:rFonts w:ascii="DecimaWE Rg" w:hAnsi="DecimaWE Rg"/>
          <w:i/>
        </w:rPr>
        <w:t>not</w:t>
      </w:r>
      <w:proofErr w:type="spellEnd"/>
      <w:r w:rsidRPr="00F13C9C">
        <w:rPr>
          <w:rFonts w:ascii="DecimaWE Rg" w:hAnsi="DecimaWE Rg"/>
          <w:i/>
        </w:rPr>
        <w:t xml:space="preserve"> in </w:t>
      </w:r>
      <w:proofErr w:type="spellStart"/>
      <w:r w:rsidRPr="00F13C9C">
        <w:rPr>
          <w:rFonts w:ascii="DecimaWE Rg" w:hAnsi="DecimaWE Rg"/>
          <w:i/>
        </w:rPr>
        <w:t>education</w:t>
      </w:r>
      <w:proofErr w:type="spellEnd"/>
      <w:r w:rsidRPr="00F13C9C">
        <w:rPr>
          <w:rFonts w:ascii="DecimaWE Rg" w:hAnsi="DecimaWE Rg"/>
          <w:i/>
        </w:rPr>
        <w:t xml:space="preserve">, </w:t>
      </w:r>
      <w:proofErr w:type="spellStart"/>
      <w:r w:rsidRPr="00F13C9C">
        <w:rPr>
          <w:rFonts w:ascii="DecimaWE Rg" w:hAnsi="DecimaWE Rg"/>
          <w:i/>
        </w:rPr>
        <w:t>employment</w:t>
      </w:r>
      <w:proofErr w:type="spellEnd"/>
      <w:r w:rsidRPr="00F13C9C">
        <w:rPr>
          <w:rFonts w:ascii="DecimaWE Rg" w:hAnsi="DecimaWE Rg"/>
          <w:i/>
        </w:rPr>
        <w:t xml:space="preserve"> or training</w:t>
      </w:r>
      <w:r w:rsidRPr="00F13C9C">
        <w:rPr>
          <w:rFonts w:ascii="DecimaWE Rg" w:hAnsi="DecimaWE Rg"/>
        </w:rPr>
        <w:t xml:space="preserve">) con oltre 900 componenti tra i 15 e i 29 anni cui è stata attribuita questa condizione lavorativa. </w:t>
      </w:r>
    </w:p>
    <w:p w:rsidR="004B2DA8" w:rsidRPr="00F13C9C" w:rsidRDefault="004B2DA8" w:rsidP="005C09EC">
      <w:pPr>
        <w:spacing w:after="0"/>
        <w:jc w:val="both"/>
        <w:rPr>
          <w:rFonts w:ascii="DecimaWE Rg" w:hAnsi="DecimaWE Rg"/>
        </w:rPr>
      </w:pPr>
      <w:r w:rsidRPr="00F13C9C">
        <w:rPr>
          <w:rFonts w:ascii="DecimaWE Rg" w:hAnsi="DecimaWE Rg"/>
        </w:rPr>
        <w:t xml:space="preserve">La quota di lavoratori poveri (29,6% dei componenti in età attiva) può ritenersi particolarmente elevata. La maggior parte di questi lavoratori, pur non trovandosi necessariamente in situazione di precarietà lavorativa (il 55% degli occupati ha un contratto a tempo indeterminato), non riesce a raggiungere un livello di reddito soddisfacente. Si tratta della così detta categoria dei </w:t>
      </w:r>
      <w:proofErr w:type="spellStart"/>
      <w:r w:rsidRPr="00F13C9C">
        <w:rPr>
          <w:rFonts w:ascii="DecimaWE Rg" w:hAnsi="DecimaWE Rg"/>
          <w:i/>
        </w:rPr>
        <w:t>working</w:t>
      </w:r>
      <w:proofErr w:type="spellEnd"/>
      <w:r w:rsidRPr="00F13C9C">
        <w:rPr>
          <w:rFonts w:ascii="DecimaWE Rg" w:hAnsi="DecimaWE Rg"/>
          <w:i/>
        </w:rPr>
        <w:t xml:space="preserve"> </w:t>
      </w:r>
      <w:proofErr w:type="spellStart"/>
      <w:r w:rsidRPr="00F13C9C">
        <w:rPr>
          <w:rFonts w:ascii="DecimaWE Rg" w:hAnsi="DecimaWE Rg"/>
          <w:i/>
        </w:rPr>
        <w:t>poor</w:t>
      </w:r>
      <w:proofErr w:type="spellEnd"/>
      <w:r w:rsidRPr="00F13C9C">
        <w:rPr>
          <w:rFonts w:ascii="DecimaWE Rg" w:hAnsi="DecimaWE Rg"/>
        </w:rPr>
        <w:t xml:space="preserve">. </w:t>
      </w:r>
    </w:p>
    <w:p w:rsidR="004B2DA8" w:rsidRPr="00F13C9C" w:rsidRDefault="004B2DA8" w:rsidP="005C09EC">
      <w:pPr>
        <w:spacing w:after="0"/>
        <w:jc w:val="both"/>
        <w:rPr>
          <w:rFonts w:ascii="DecimaWE Rg" w:hAnsi="DecimaWE Rg"/>
        </w:rPr>
      </w:pPr>
      <w:r w:rsidRPr="00F13C9C">
        <w:rPr>
          <w:rFonts w:ascii="DecimaWE Rg" w:hAnsi="DecimaWE Rg"/>
        </w:rPr>
        <w:t xml:space="preserve">Anche in questo caso si evidenziano alcune differenze territoriali: una quota più significativa di disoccupati caratterizza l’UTI Giuliana, quella del Collio Isonzo Adriatico e della Carnia con percentuali al di sopra del 47% di disoccupati tra i componenti in età attiva e a seguire dell’UTI Natisone e del Gemonese (disoccupati pari al 44% dei componenti in età attiva). Viceversa l’incidenza di lavoratori poveri risulta maggiore rispetto a quella dei disoccupati nei territori delle UTI Carso Isonzo Adriatico (dove anche la quota di casalinghe risulta particolarmente significativa 21% dei componenti in età da lavoro), Livenza </w:t>
      </w:r>
      <w:proofErr w:type="spellStart"/>
      <w:r w:rsidRPr="00F13C9C">
        <w:rPr>
          <w:rFonts w:ascii="DecimaWE Rg" w:hAnsi="DecimaWE Rg"/>
        </w:rPr>
        <w:t>Cansiglio</w:t>
      </w:r>
      <w:proofErr w:type="spellEnd"/>
      <w:r w:rsidRPr="00F13C9C">
        <w:rPr>
          <w:rFonts w:ascii="DecimaWE Rg" w:hAnsi="DecimaWE Rg"/>
        </w:rPr>
        <w:t xml:space="preserve"> Cavallo, Tagliamento e Noncello dove gli occupati sono tra il 32% e il 36% dei componenti beneficiari in età attiva. </w:t>
      </w:r>
    </w:p>
    <w:p w:rsidR="004B2DA8" w:rsidRDefault="004B2DA8" w:rsidP="005C09EC">
      <w:pPr>
        <w:spacing w:after="0"/>
        <w:jc w:val="both"/>
        <w:rPr>
          <w:rFonts w:ascii="DecimaWE Rg" w:hAnsi="DecimaWE Rg"/>
        </w:rPr>
      </w:pPr>
    </w:p>
    <w:p w:rsidR="004B2DA8" w:rsidRDefault="004B2DA8" w:rsidP="005C09EC">
      <w:pPr>
        <w:spacing w:after="0" w:line="240" w:lineRule="auto"/>
        <w:jc w:val="both"/>
        <w:rPr>
          <w:rFonts w:ascii="DecimaWE Rg" w:hAnsi="DecimaWE Rg"/>
          <w:i/>
          <w:sz w:val="20"/>
        </w:rPr>
      </w:pPr>
      <w:r>
        <w:rPr>
          <w:rFonts w:ascii="DecimaWE Rg" w:hAnsi="DecimaWE Rg"/>
          <w:i/>
          <w:sz w:val="20"/>
        </w:rPr>
        <w:t>Graf. 8</w:t>
      </w:r>
      <w:r w:rsidRPr="00344A13">
        <w:rPr>
          <w:rFonts w:ascii="DecimaWE Rg" w:hAnsi="DecimaWE Rg"/>
          <w:i/>
          <w:sz w:val="20"/>
        </w:rPr>
        <w:t xml:space="preserve"> – Distribuzione </w:t>
      </w:r>
      <w:r>
        <w:rPr>
          <w:rFonts w:ascii="DecimaWE Rg" w:hAnsi="DecimaWE Rg"/>
          <w:i/>
          <w:sz w:val="20"/>
        </w:rPr>
        <w:t xml:space="preserve">dei componenti </w:t>
      </w:r>
      <w:r w:rsidR="00E94D78">
        <w:rPr>
          <w:rFonts w:ascii="DecimaWE Rg" w:hAnsi="DecimaWE Rg"/>
          <w:i/>
          <w:sz w:val="20"/>
        </w:rPr>
        <w:t>de</w:t>
      </w:r>
      <w:r>
        <w:rPr>
          <w:rFonts w:ascii="DecimaWE Rg" w:hAnsi="DecimaWE Rg"/>
          <w:i/>
          <w:sz w:val="20"/>
        </w:rPr>
        <w:t>i nuclei beneficiari in età lavorativa – 15-64 anni (tot. 16.598) per condizione professionale e specifica sulla tipologia di contratto per gli occupati</w:t>
      </w:r>
      <w:r w:rsidRPr="00344A13">
        <w:rPr>
          <w:rFonts w:ascii="DecimaWE Rg" w:hAnsi="DecimaWE Rg"/>
          <w:i/>
          <w:sz w:val="20"/>
        </w:rPr>
        <w:t xml:space="preserve">. </w:t>
      </w:r>
    </w:p>
    <w:p w:rsidR="004B2DA8" w:rsidRDefault="009F6CA2" w:rsidP="005C09EC">
      <w:pPr>
        <w:spacing w:after="0" w:line="240" w:lineRule="auto"/>
        <w:jc w:val="both"/>
        <w:rPr>
          <w:rFonts w:ascii="DecimaWE Rg" w:hAnsi="DecimaWE Rg"/>
          <w:i/>
          <w:sz w:val="20"/>
        </w:rPr>
      </w:pPr>
      <w:r>
        <w:rPr>
          <w:rFonts w:ascii="DecimaWE Rg" w:hAnsi="DecimaWE Rg"/>
          <w:i/>
          <w:noProof/>
          <w:sz w:val="20"/>
          <w:lang w:eastAsia="it-IT"/>
        </w:rPr>
        <w:drawing>
          <wp:inline distT="0" distB="0" distL="0" distR="0" wp14:anchorId="342EBC6F" wp14:editId="7FFFBFB1">
            <wp:extent cx="6035040" cy="2409190"/>
            <wp:effectExtent l="0" t="0" r="0" b="0"/>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5040" cy="2409190"/>
                    </a:xfrm>
                    <a:prstGeom prst="rect">
                      <a:avLst/>
                    </a:prstGeom>
                    <a:noFill/>
                    <a:ln>
                      <a:noFill/>
                    </a:ln>
                  </pic:spPr>
                </pic:pic>
              </a:graphicData>
            </a:graphic>
          </wp:inline>
        </w:drawing>
      </w:r>
    </w:p>
    <w:p w:rsidR="004B2DA8" w:rsidRDefault="004B2DA8" w:rsidP="005C09EC">
      <w:pPr>
        <w:spacing w:after="0"/>
        <w:jc w:val="both"/>
        <w:rPr>
          <w:rFonts w:ascii="DecimaWE Rg" w:hAnsi="DecimaWE Rg"/>
          <w:i/>
          <w:sz w:val="18"/>
        </w:rPr>
      </w:pPr>
      <w:r w:rsidRPr="00E14F1C">
        <w:rPr>
          <w:rFonts w:ascii="DecimaWE Rg" w:hAnsi="DecimaWE Rg"/>
          <w:i/>
          <w:sz w:val="18"/>
        </w:rPr>
        <w:t xml:space="preserve">Fonte: SIMIA domande dal 01/01/2017 al 31/12/2017, estrazione dati al 21/05/18. </w:t>
      </w:r>
    </w:p>
    <w:p w:rsidR="004B2DA8" w:rsidRDefault="004B2DA8" w:rsidP="005C09EC">
      <w:pPr>
        <w:spacing w:after="0"/>
        <w:jc w:val="both"/>
        <w:rPr>
          <w:rFonts w:ascii="DecimaWE Rg" w:hAnsi="DecimaWE Rg"/>
        </w:rPr>
      </w:pPr>
    </w:p>
    <w:p w:rsidR="004B2DA8" w:rsidRDefault="004B2DA8" w:rsidP="005C09EC">
      <w:pPr>
        <w:spacing w:after="0"/>
        <w:jc w:val="both"/>
        <w:rPr>
          <w:rFonts w:ascii="DecimaWE Rg" w:hAnsi="DecimaWE Rg"/>
        </w:rPr>
      </w:pPr>
    </w:p>
    <w:p w:rsidR="004B2DA8" w:rsidRDefault="004B2DA8" w:rsidP="005C09EC">
      <w:pPr>
        <w:spacing w:after="0"/>
        <w:jc w:val="both"/>
        <w:rPr>
          <w:rFonts w:ascii="DecimaWE Rg" w:hAnsi="DecimaWE Rg"/>
        </w:rPr>
      </w:pPr>
    </w:p>
    <w:p w:rsidR="004B2DA8" w:rsidRDefault="004B2DA8" w:rsidP="005C09EC">
      <w:pPr>
        <w:spacing w:after="0"/>
        <w:jc w:val="both"/>
        <w:rPr>
          <w:rFonts w:ascii="DecimaWE Rg" w:hAnsi="DecimaWE Rg"/>
        </w:rPr>
      </w:pPr>
    </w:p>
    <w:p w:rsidR="0094643A" w:rsidRDefault="0094643A" w:rsidP="005C09EC">
      <w:pPr>
        <w:spacing w:after="0"/>
        <w:jc w:val="both"/>
        <w:rPr>
          <w:rFonts w:ascii="DecimaWE Rg" w:hAnsi="DecimaWE Rg"/>
        </w:rPr>
      </w:pPr>
    </w:p>
    <w:p w:rsidR="0094643A" w:rsidRDefault="0094643A" w:rsidP="005C09EC">
      <w:pPr>
        <w:spacing w:after="0"/>
        <w:jc w:val="both"/>
        <w:rPr>
          <w:rFonts w:ascii="DecimaWE Rg" w:hAnsi="DecimaWE Rg"/>
        </w:rPr>
      </w:pPr>
    </w:p>
    <w:p w:rsidR="004B2DA8" w:rsidRPr="0094643A" w:rsidRDefault="004B2DA8" w:rsidP="0094643A">
      <w:pPr>
        <w:pStyle w:val="Titolo1"/>
        <w:rPr>
          <w:rFonts w:ascii="DecimaWE Rg" w:hAnsi="DecimaWE Rg"/>
          <w:color w:val="000000" w:themeColor="text1"/>
          <w:sz w:val="22"/>
          <w:szCs w:val="22"/>
        </w:rPr>
      </w:pPr>
      <w:bookmarkStart w:id="4" w:name="_Toc534813290"/>
      <w:r w:rsidRPr="0094643A">
        <w:rPr>
          <w:rFonts w:ascii="DecimaWE Rg" w:hAnsi="DecimaWE Rg"/>
          <w:color w:val="000000" w:themeColor="text1"/>
          <w:sz w:val="22"/>
          <w:szCs w:val="22"/>
        </w:rPr>
        <w:lastRenderedPageBreak/>
        <w:t xml:space="preserve">4. </w:t>
      </w:r>
      <w:r w:rsidRPr="0094643A">
        <w:rPr>
          <w:rFonts w:ascii="DecimaWE Rg" w:hAnsi="DecimaWE Rg"/>
          <w:color w:val="000000" w:themeColor="text1"/>
          <w:sz w:val="22"/>
          <w:szCs w:val="22"/>
        </w:rPr>
        <w:tab/>
        <w:t>La presa in carico e la definizione dei patti di inclusione</w:t>
      </w:r>
      <w:bookmarkEnd w:id="4"/>
    </w:p>
    <w:p w:rsidR="004B2DA8" w:rsidRPr="00344A13" w:rsidRDefault="004B2DA8" w:rsidP="005C09EC">
      <w:pPr>
        <w:pStyle w:val="Paragrafoelenco"/>
        <w:spacing w:after="0"/>
        <w:rPr>
          <w:rFonts w:ascii="DecimaWE Rg" w:hAnsi="DecimaWE Rg"/>
          <w:b/>
        </w:rPr>
      </w:pPr>
    </w:p>
    <w:p w:rsidR="004B2DA8" w:rsidRPr="00344A13" w:rsidRDefault="004B2DA8" w:rsidP="005C09EC">
      <w:pPr>
        <w:spacing w:after="0"/>
        <w:jc w:val="both"/>
        <w:rPr>
          <w:rFonts w:ascii="DecimaWE Rg" w:hAnsi="DecimaWE Rg"/>
        </w:rPr>
      </w:pPr>
      <w:r w:rsidRPr="00344A13">
        <w:rPr>
          <w:rFonts w:ascii="DecimaWE Rg" w:hAnsi="DecimaWE Rg"/>
        </w:rPr>
        <w:t>L’elemento qualificante la MIA risulta connesso al p</w:t>
      </w:r>
      <w:r>
        <w:rPr>
          <w:rFonts w:ascii="DecimaWE Rg" w:hAnsi="DecimaWE Rg"/>
        </w:rPr>
        <w:t>ercorso di presa in carico volta</w:t>
      </w:r>
      <w:r w:rsidRPr="00344A13">
        <w:rPr>
          <w:rFonts w:ascii="DecimaWE Rg" w:hAnsi="DecimaWE Rg"/>
        </w:rPr>
        <w:t xml:space="preserve"> all’attivazione dei soggetti beneficiari</w:t>
      </w:r>
      <w:r>
        <w:rPr>
          <w:rFonts w:ascii="DecimaWE Rg" w:hAnsi="DecimaWE Rg"/>
        </w:rPr>
        <w:t>, attingendo al</w:t>
      </w:r>
      <w:r w:rsidRPr="00344A13">
        <w:rPr>
          <w:rFonts w:ascii="DecimaWE Rg" w:hAnsi="DecimaWE Rg"/>
        </w:rPr>
        <w:t>le potenzialità lat</w:t>
      </w:r>
      <w:r>
        <w:rPr>
          <w:rFonts w:ascii="DecimaWE Rg" w:hAnsi="DecimaWE Rg"/>
        </w:rPr>
        <w:t>enti e residue della persona e mobilitando le</w:t>
      </w:r>
      <w:r w:rsidRPr="00344A13">
        <w:rPr>
          <w:rFonts w:ascii="DecimaWE Rg" w:hAnsi="DecimaWE Rg"/>
        </w:rPr>
        <w:t xml:space="preserve"> risorse formali e informali</w:t>
      </w:r>
      <w:r>
        <w:rPr>
          <w:rFonts w:ascii="DecimaWE Rg" w:hAnsi="DecimaWE Rg"/>
        </w:rPr>
        <w:t xml:space="preserve"> disponibili (dal mercato del lavoro, al sistema della formazione, dal terzo settore, a</w:t>
      </w:r>
      <w:r w:rsidRPr="00344A13">
        <w:rPr>
          <w:rFonts w:ascii="DecimaWE Rg" w:hAnsi="DecimaWE Rg"/>
        </w:rPr>
        <w:t>ll’associazionismo</w:t>
      </w:r>
      <w:r>
        <w:rPr>
          <w:rFonts w:ascii="DecimaWE Rg" w:hAnsi="DecimaWE Rg"/>
        </w:rPr>
        <w:t>)</w:t>
      </w:r>
      <w:r w:rsidRPr="00344A13">
        <w:rPr>
          <w:rFonts w:ascii="DecimaWE Rg" w:hAnsi="DecimaWE Rg"/>
        </w:rPr>
        <w:t xml:space="preserve"> al fine di realizzare percorsi di inclusione lavorativa e sociale ch</w:t>
      </w:r>
      <w:r>
        <w:rPr>
          <w:rFonts w:ascii="DecimaWE Rg" w:hAnsi="DecimaWE Rg"/>
        </w:rPr>
        <w:t>e possano</w:t>
      </w:r>
      <w:r w:rsidRPr="00344A13">
        <w:rPr>
          <w:rFonts w:ascii="DecimaWE Rg" w:hAnsi="DecimaWE Rg"/>
        </w:rPr>
        <w:t xml:space="preserve"> portare la persona a riacquistare la</w:t>
      </w:r>
      <w:r>
        <w:rPr>
          <w:rFonts w:ascii="DecimaWE Rg" w:hAnsi="DecimaWE Rg"/>
        </w:rPr>
        <w:t xml:space="preserve"> propria autonomia lavorativa ed</w:t>
      </w:r>
      <w:r w:rsidRPr="00344A13">
        <w:rPr>
          <w:rFonts w:ascii="DecimaWE Rg" w:hAnsi="DecimaWE Rg"/>
        </w:rPr>
        <w:t xml:space="preserve"> economica</w:t>
      </w:r>
      <w:r>
        <w:rPr>
          <w:rFonts w:ascii="DecimaWE Rg" w:hAnsi="DecimaWE Rg"/>
        </w:rPr>
        <w:t xml:space="preserve"> o attivando i necessari percorsi di inclusione sociale</w:t>
      </w:r>
      <w:r w:rsidRPr="00344A13">
        <w:rPr>
          <w:rFonts w:ascii="DecimaWE Rg" w:hAnsi="DecimaWE Rg"/>
        </w:rPr>
        <w:t>.</w:t>
      </w:r>
    </w:p>
    <w:p w:rsidR="004B2DA8" w:rsidRPr="00344A13" w:rsidRDefault="004B2DA8" w:rsidP="005C09EC">
      <w:pPr>
        <w:spacing w:after="0"/>
        <w:jc w:val="both"/>
        <w:rPr>
          <w:rFonts w:ascii="DecimaWE Rg" w:hAnsi="DecimaWE Rg"/>
        </w:rPr>
      </w:pPr>
      <w:r>
        <w:rPr>
          <w:rFonts w:ascii="DecimaWE Rg" w:hAnsi="DecimaWE Rg"/>
        </w:rPr>
        <w:t>Il percorso definito</w:t>
      </w:r>
      <w:r w:rsidRPr="00344A13">
        <w:rPr>
          <w:rFonts w:ascii="DecimaWE Rg" w:hAnsi="DecimaWE Rg"/>
        </w:rPr>
        <w:t xml:space="preserve"> prev</w:t>
      </w:r>
      <w:r>
        <w:rPr>
          <w:rFonts w:ascii="DecimaWE Rg" w:hAnsi="DecimaWE Rg"/>
        </w:rPr>
        <w:t xml:space="preserve">ede, in linea con quelle che sono le successive indicazioni del REI, una </w:t>
      </w:r>
      <w:r w:rsidRPr="00344A13">
        <w:rPr>
          <w:rFonts w:ascii="DecimaWE Rg" w:hAnsi="DecimaWE Rg"/>
        </w:rPr>
        <w:t>valutazione professionale, anche integrata tra servizi sociali e servizi del lavoro</w:t>
      </w:r>
      <w:r>
        <w:rPr>
          <w:rFonts w:ascii="DecimaWE Rg" w:hAnsi="DecimaWE Rg"/>
        </w:rPr>
        <w:t>,</w:t>
      </w:r>
      <w:r w:rsidRPr="00344A13">
        <w:rPr>
          <w:rFonts w:ascii="DecimaWE Rg" w:hAnsi="DecimaWE Rg"/>
        </w:rPr>
        <w:t xml:space="preserve"> a seguito di una prima </w:t>
      </w:r>
      <w:proofErr w:type="spellStart"/>
      <w:r w:rsidRPr="00344A13">
        <w:rPr>
          <w:rFonts w:ascii="DecimaWE Rg" w:hAnsi="DecimaWE Rg"/>
        </w:rPr>
        <w:t>profilazione</w:t>
      </w:r>
      <w:proofErr w:type="spellEnd"/>
      <w:r w:rsidRPr="00344A13">
        <w:rPr>
          <w:rFonts w:ascii="DecimaWE Rg" w:hAnsi="DecimaWE Rg"/>
        </w:rPr>
        <w:t xml:space="preserve"> tramite apposito strumento sperimentale di </w:t>
      </w:r>
      <w:proofErr w:type="spellStart"/>
      <w:r w:rsidRPr="00344A13">
        <w:rPr>
          <w:rFonts w:ascii="DecimaWE Rg" w:hAnsi="DecimaWE Rg"/>
          <w:i/>
        </w:rPr>
        <w:t>pre-assessment</w:t>
      </w:r>
      <w:proofErr w:type="spellEnd"/>
      <w:r w:rsidRPr="00344A13">
        <w:rPr>
          <w:rFonts w:ascii="DecimaWE Rg" w:hAnsi="DecimaWE Rg"/>
          <w:i/>
        </w:rPr>
        <w:t xml:space="preserve"> </w:t>
      </w:r>
      <w:r w:rsidRPr="00344A13">
        <w:rPr>
          <w:rFonts w:ascii="DecimaWE Rg" w:hAnsi="DecimaWE Rg"/>
        </w:rPr>
        <w:t>(ITO</w:t>
      </w:r>
      <w:r w:rsidRPr="00344A13">
        <w:rPr>
          <w:rStyle w:val="Rimandonotaapidipagina"/>
          <w:rFonts w:ascii="DecimaWE Rg" w:hAnsi="DecimaWE Rg"/>
        </w:rPr>
        <w:footnoteReference w:id="21"/>
      </w:r>
      <w:r w:rsidRPr="00344A13">
        <w:rPr>
          <w:rFonts w:ascii="DecimaWE Rg" w:hAnsi="DecimaWE Rg"/>
        </w:rPr>
        <w:t>), la definizione e stipula del Patto di Inclusione</w:t>
      </w:r>
      <w:r>
        <w:rPr>
          <w:rFonts w:ascii="DecimaWE Rg" w:hAnsi="DecimaWE Rg"/>
        </w:rPr>
        <w:t>, la verifica del rispetto degli impegni presi. Il patto</w:t>
      </w:r>
      <w:r w:rsidRPr="00344A13">
        <w:rPr>
          <w:rFonts w:ascii="DecimaWE Rg" w:hAnsi="DecimaWE Rg"/>
        </w:rPr>
        <w:t xml:space="preserve"> impegna il nucleo beneficiario alla realizzazione di specifiche azioni correlate a obiettivi opportunamente individuati con riferimento a ciascun componente il nucleo, a fronte dell’erogazione del contributo economico previsto.</w:t>
      </w:r>
    </w:p>
    <w:p w:rsidR="004B2DA8" w:rsidRDefault="004B2DA8" w:rsidP="005C09EC">
      <w:pPr>
        <w:spacing w:after="0"/>
        <w:jc w:val="both"/>
        <w:rPr>
          <w:rFonts w:ascii="DecimaWE Rg" w:hAnsi="DecimaWE Rg"/>
        </w:rPr>
      </w:pPr>
      <w:r>
        <w:rPr>
          <w:rFonts w:ascii="DecimaWE Rg" w:hAnsi="DecimaWE Rg"/>
        </w:rPr>
        <w:t>Con riferimento ai nuclei monitorati</w:t>
      </w:r>
      <w:r w:rsidRPr="00344A13">
        <w:rPr>
          <w:rFonts w:ascii="DecimaWE Rg" w:hAnsi="DecimaWE Rg"/>
        </w:rPr>
        <w:t xml:space="preserve"> (</w:t>
      </w:r>
      <w:r>
        <w:rPr>
          <w:rFonts w:ascii="DecimaWE Rg" w:hAnsi="DecimaWE Rg"/>
        </w:rPr>
        <w:t>domande presentate dal 01/01/2017 – 31/12</w:t>
      </w:r>
      <w:r w:rsidRPr="00344A13">
        <w:rPr>
          <w:rFonts w:ascii="DecimaWE Rg" w:hAnsi="DecimaWE Rg"/>
        </w:rPr>
        <w:t>/201</w:t>
      </w:r>
      <w:r>
        <w:rPr>
          <w:rFonts w:ascii="DecimaWE Rg" w:hAnsi="DecimaWE Rg"/>
        </w:rPr>
        <w:t>7</w:t>
      </w:r>
      <w:r w:rsidRPr="00344A13">
        <w:rPr>
          <w:rFonts w:ascii="DecimaWE Rg" w:hAnsi="DecimaWE Rg"/>
        </w:rPr>
        <w:t xml:space="preserve">), risulta aver avuto un patto di </w:t>
      </w:r>
      <w:r w:rsidRPr="00155289">
        <w:rPr>
          <w:rFonts w:ascii="DecimaWE Rg" w:hAnsi="DecimaWE Rg"/>
        </w:rPr>
        <w:t>inclusione il 79% del totale dei</w:t>
      </w:r>
      <w:r>
        <w:rPr>
          <w:rFonts w:ascii="DecimaWE Rg" w:hAnsi="DecimaWE Rg"/>
        </w:rPr>
        <w:t xml:space="preserve"> nuclei, per complessivi 7.489 patti inseriti a sistema</w:t>
      </w:r>
      <w:r>
        <w:rPr>
          <w:rStyle w:val="Rimandonotaapidipagina"/>
          <w:rFonts w:ascii="DecimaWE Rg" w:hAnsi="DecimaWE Rg"/>
        </w:rPr>
        <w:footnoteReference w:id="22"/>
      </w:r>
      <w:r w:rsidRPr="00344A13">
        <w:rPr>
          <w:rFonts w:ascii="DecimaWE Rg" w:hAnsi="DecimaWE Rg"/>
        </w:rPr>
        <w:t>. Il dato regionale riferito a</w:t>
      </w:r>
      <w:r>
        <w:rPr>
          <w:rFonts w:ascii="DecimaWE Rg" w:hAnsi="DecimaWE Rg"/>
        </w:rPr>
        <w:t xml:space="preserve">lla quota di </w:t>
      </w:r>
      <w:r w:rsidRPr="00344A13">
        <w:rPr>
          <w:rFonts w:ascii="DecimaWE Rg" w:hAnsi="DecimaWE Rg"/>
        </w:rPr>
        <w:t xml:space="preserve">nuclei </w:t>
      </w:r>
      <w:r>
        <w:rPr>
          <w:rFonts w:ascii="DecimaWE Rg" w:hAnsi="DecimaWE Rg"/>
        </w:rPr>
        <w:t>beneficiari con</w:t>
      </w:r>
      <w:r w:rsidRPr="00344A13">
        <w:rPr>
          <w:rFonts w:ascii="DecimaWE Rg" w:hAnsi="DecimaWE Rg"/>
        </w:rPr>
        <w:t xml:space="preserve"> patto di inclusione</w:t>
      </w:r>
      <w:r>
        <w:rPr>
          <w:rFonts w:ascii="DecimaWE Rg" w:hAnsi="DecimaWE Rg"/>
        </w:rPr>
        <w:t xml:space="preserve">, risulta molto più contenuto nei contesti dell’UTI </w:t>
      </w:r>
      <w:r w:rsidRPr="0038465E">
        <w:rPr>
          <w:rFonts w:ascii="DecimaWE Rg" w:hAnsi="DecimaWE Rg"/>
        </w:rPr>
        <w:t>Giuliana</w:t>
      </w:r>
      <w:r w:rsidRPr="0038465E">
        <w:rPr>
          <w:rStyle w:val="Rimandonotaapidipagina"/>
          <w:rFonts w:ascii="DecimaWE Rg" w:hAnsi="DecimaWE Rg"/>
        </w:rPr>
        <w:footnoteReference w:id="23"/>
      </w:r>
      <w:r w:rsidRPr="0038465E">
        <w:rPr>
          <w:rFonts w:ascii="DecimaWE Rg" w:hAnsi="DecimaWE Rg"/>
        </w:rPr>
        <w:t xml:space="preserve"> e dell’UTI Sile Meduna</w:t>
      </w:r>
      <w:r>
        <w:rPr>
          <w:rStyle w:val="Rimandonotaapidipagina"/>
          <w:rFonts w:ascii="DecimaWE Rg" w:hAnsi="DecimaWE Rg"/>
        </w:rPr>
        <w:footnoteReference w:id="24"/>
      </w:r>
      <w:r w:rsidRPr="0038465E">
        <w:rPr>
          <w:rFonts w:ascii="DecimaWE Rg" w:hAnsi="DecimaWE Rg"/>
        </w:rPr>
        <w:t>, mentre in 11 territori si raggiunge o si supera la quota del 95% dei nuclei</w:t>
      </w:r>
      <w:r>
        <w:rPr>
          <w:rFonts w:ascii="DecimaWE Rg" w:hAnsi="DecimaWE Rg"/>
        </w:rPr>
        <w:t xml:space="preserve"> beneficiari con patto. Si può pertanto ritenere raggiunto l’importante obiettivo di aver orientato il lavoro degli operatori in ottica progettuale attraverso una presa in carico personalizzata dei nuclei, anche se, come vedremo, i dati disponibili non sempre evidenziano una ricchezza di obiettivi individuati nei singoli progetti e, nella maggior parte dei casi, evidenziano alcune problematiche nell’integrazione con altri servizi, in particolare con quelli del lavoro, anche in presenza di obiettivi comuni.</w:t>
      </w:r>
    </w:p>
    <w:p w:rsidR="004B2DA8" w:rsidRPr="000E4398" w:rsidRDefault="004B2DA8" w:rsidP="005C09EC">
      <w:pPr>
        <w:spacing w:after="0"/>
        <w:jc w:val="both"/>
        <w:rPr>
          <w:rFonts w:ascii="DecimaWE Rg" w:hAnsi="DecimaWE Rg"/>
        </w:rPr>
      </w:pPr>
      <w:r w:rsidRPr="000E4398">
        <w:rPr>
          <w:rFonts w:ascii="DecimaWE Rg" w:hAnsi="DecimaWE Rg"/>
        </w:rPr>
        <w:t>A livello generale risulta che la metà dei patti (51%) si orienta esclusivamente su obiettivi riferiti all’area sociale (abitativa in particolare, ma anche relazionale e dell’autonomia personale o delle cure genitoriali e parentali) perseguendo pertanto finalità prevalente di inclusione sociale. L’altra metà dei patti contiene anche obiettivi riferiti all’area lavoro e/o formativa</w:t>
      </w:r>
      <w:r>
        <w:rPr>
          <w:rFonts w:ascii="DecimaWE Rg" w:hAnsi="DecimaWE Rg"/>
        </w:rPr>
        <w:t>,</w:t>
      </w:r>
      <w:r w:rsidRPr="000E4398">
        <w:rPr>
          <w:rFonts w:ascii="DecimaWE Rg" w:hAnsi="DecimaWE Rg"/>
        </w:rPr>
        <w:t xml:space="preserve"> nella quasi totalità dei casi accompagnati a obiettivi sociali (solo 387 patti contengono esclusivamente obiettivi di area lavoro e/o formativa) .</w:t>
      </w:r>
    </w:p>
    <w:p w:rsidR="004B2DA8" w:rsidRPr="00563CC2" w:rsidRDefault="004B2DA8" w:rsidP="005C09EC">
      <w:pPr>
        <w:spacing w:after="0"/>
        <w:jc w:val="both"/>
        <w:rPr>
          <w:rFonts w:ascii="DecimaWE Rg" w:hAnsi="DecimaWE Rg"/>
          <w:highlight w:val="yellow"/>
        </w:rPr>
      </w:pPr>
    </w:p>
    <w:p w:rsidR="004B2DA8" w:rsidRPr="003B16C3" w:rsidRDefault="004B2DA8" w:rsidP="005C09EC">
      <w:pPr>
        <w:spacing w:after="0"/>
        <w:jc w:val="both"/>
        <w:rPr>
          <w:rFonts w:ascii="DecimaWE Rg" w:hAnsi="DecimaWE Rg"/>
        </w:rPr>
      </w:pPr>
      <w:r w:rsidRPr="003B16C3">
        <w:rPr>
          <w:rFonts w:ascii="DecimaWE Rg" w:hAnsi="DecimaWE Rg"/>
        </w:rPr>
        <w:t xml:space="preserve">In generale la maggior parte dei patti persegue obiettivi di area abitativa (79% del totale dei patti) orientati in particolare a “Evitare le insolvenze per utenze e affitti” (66% dei patti), seguiti da “Sanare o evitare situazioni debitorie”(13% dei patti) e da “Trovare un alloggio” (4% dei patti). </w:t>
      </w:r>
    </w:p>
    <w:p w:rsidR="004B2DA8" w:rsidRPr="003B16C3" w:rsidRDefault="004B2DA8" w:rsidP="005C09EC">
      <w:pPr>
        <w:spacing w:after="0"/>
        <w:jc w:val="both"/>
        <w:rPr>
          <w:rFonts w:ascii="DecimaWE Rg" w:hAnsi="DecimaWE Rg"/>
        </w:rPr>
      </w:pPr>
      <w:r w:rsidRPr="003B16C3">
        <w:rPr>
          <w:rFonts w:ascii="DecimaWE Rg" w:hAnsi="DecimaWE Rg"/>
        </w:rPr>
        <w:t>Seguono gli obiettivi di area lavoro (42% dei patti), in particolare quello relativo alla “Promozione dell’</w:t>
      </w:r>
      <w:proofErr w:type="spellStart"/>
      <w:r w:rsidRPr="003B16C3">
        <w:rPr>
          <w:rFonts w:ascii="DecimaWE Rg" w:hAnsi="DecimaWE Rg"/>
        </w:rPr>
        <w:t>occupabilità</w:t>
      </w:r>
      <w:proofErr w:type="spellEnd"/>
      <w:r w:rsidRPr="003B16C3">
        <w:rPr>
          <w:rFonts w:ascii="DecimaWE Rg" w:hAnsi="DecimaWE Rg"/>
        </w:rPr>
        <w:t xml:space="preserve">”. </w:t>
      </w:r>
    </w:p>
    <w:p w:rsidR="004B2DA8" w:rsidRPr="003B16C3" w:rsidRDefault="004B2DA8" w:rsidP="005C09EC">
      <w:pPr>
        <w:spacing w:after="0"/>
        <w:jc w:val="both"/>
        <w:rPr>
          <w:rFonts w:ascii="DecimaWE Rg" w:hAnsi="DecimaWE Rg"/>
        </w:rPr>
      </w:pPr>
      <w:r w:rsidRPr="003B16C3">
        <w:rPr>
          <w:rFonts w:ascii="DecimaWE Rg" w:hAnsi="DecimaWE Rg"/>
        </w:rPr>
        <w:t xml:space="preserve">L’area socio-relazionale e dell’autonomia personale risulta la terza per rilevanza, riguardando il 38% dei patti con obiettivi specifici volti al soddisfacimento delle esigenze primarie della vita quotidiana (27% dei patti), al </w:t>
      </w:r>
      <w:r w:rsidRPr="003B16C3">
        <w:rPr>
          <w:rFonts w:ascii="DecimaWE Rg" w:hAnsi="DecimaWE Rg"/>
        </w:rPr>
        <w:lastRenderedPageBreak/>
        <w:t xml:space="preserve">mantenimento o recupero dello stato di salute (9% dei patti), all’acquisizione e potenziamento dell’autonomia personale o al perseguimento dell’integrazione sociale. </w:t>
      </w:r>
    </w:p>
    <w:p w:rsidR="004B2DA8" w:rsidRPr="003B16C3" w:rsidRDefault="004B2DA8" w:rsidP="005C09EC">
      <w:pPr>
        <w:spacing w:after="0"/>
        <w:jc w:val="both"/>
        <w:rPr>
          <w:rFonts w:ascii="DecimaWE Rg" w:hAnsi="DecimaWE Rg"/>
        </w:rPr>
      </w:pPr>
      <w:r w:rsidRPr="003B16C3">
        <w:rPr>
          <w:rFonts w:ascii="DecimaWE Rg" w:hAnsi="DecimaWE Rg"/>
        </w:rPr>
        <w:t xml:space="preserve">Il 24% dei patti contiene obiettivi specifici nell’area “Cure genitoriali e parentali”, volti per lo più a garantire ai minori la frequenza scolastica, ma anche la frequentazione di attività extrascolastiche o il potenziamento del ruolo educativo e di cura da parte del genitore. Anche questo aspetto risulta rilevante in quanto indica che la presa in carico è orientata, con riferimento ai nuclei con minori, non solo al </w:t>
      </w:r>
      <w:proofErr w:type="spellStart"/>
      <w:r w:rsidRPr="003B16C3">
        <w:rPr>
          <w:rFonts w:ascii="DecimaWE Rg" w:hAnsi="DecimaWE Rg"/>
        </w:rPr>
        <w:t>fronteggiamento</w:t>
      </w:r>
      <w:proofErr w:type="spellEnd"/>
      <w:r w:rsidRPr="003B16C3">
        <w:rPr>
          <w:rFonts w:ascii="DecimaWE Rg" w:hAnsi="DecimaWE Rg"/>
        </w:rPr>
        <w:t xml:space="preserve"> e superamento delle condizioni di povertà materiale, ma anche di quelle di povertà educativa.  </w:t>
      </w:r>
    </w:p>
    <w:p w:rsidR="004B2DA8" w:rsidRPr="003B16C3" w:rsidRDefault="004B2DA8" w:rsidP="005C09EC">
      <w:pPr>
        <w:spacing w:after="0"/>
        <w:jc w:val="both"/>
        <w:rPr>
          <w:rFonts w:ascii="DecimaWE Rg" w:hAnsi="DecimaWE Rg"/>
        </w:rPr>
      </w:pPr>
      <w:r w:rsidRPr="003B16C3">
        <w:rPr>
          <w:rFonts w:ascii="DecimaWE Rg" w:hAnsi="DecimaWE Rg"/>
        </w:rPr>
        <w:t xml:space="preserve">Gli obiettivi in area formativa e di orientamento riguardano il 14% dei patti, volti per lo più al conseguimento di titoli di studio o di qualifiche di aggiornamento e riqualificazione. </w:t>
      </w:r>
    </w:p>
    <w:p w:rsidR="004B2DA8" w:rsidRDefault="004B2DA8" w:rsidP="005C09EC">
      <w:pPr>
        <w:spacing w:after="0"/>
        <w:jc w:val="both"/>
        <w:rPr>
          <w:rFonts w:ascii="DecimaWE Rg" w:hAnsi="DecimaWE Rg"/>
        </w:rPr>
      </w:pPr>
      <w:r w:rsidRPr="003B16C3">
        <w:rPr>
          <w:rFonts w:ascii="DecimaWE Rg" w:hAnsi="DecimaWE Rg"/>
        </w:rPr>
        <w:t>Più residuali, infine, le aree relative all’esigibilità dei diritti previdenziali e assistenziali (5%) e ancor più quella riabilitativa (richiamata nel 3% dei patti) e della partecipazione attiva (2% dei patti).</w:t>
      </w:r>
    </w:p>
    <w:p w:rsidR="004B2DA8" w:rsidRDefault="004B2DA8" w:rsidP="005C09EC">
      <w:pPr>
        <w:spacing w:after="0"/>
        <w:jc w:val="both"/>
        <w:rPr>
          <w:rFonts w:ascii="DecimaWE Rg" w:hAnsi="DecimaWE Rg"/>
        </w:rPr>
      </w:pPr>
    </w:p>
    <w:p w:rsidR="004B2DA8" w:rsidRDefault="004B2DA8" w:rsidP="005C09EC">
      <w:pPr>
        <w:spacing w:after="0" w:line="240" w:lineRule="auto"/>
        <w:jc w:val="both"/>
        <w:rPr>
          <w:rFonts w:ascii="DecimaWE Rg" w:hAnsi="DecimaWE Rg"/>
          <w:i/>
          <w:sz w:val="20"/>
        </w:rPr>
      </w:pPr>
      <w:proofErr w:type="spellStart"/>
      <w:r w:rsidRPr="00C7296F">
        <w:rPr>
          <w:rFonts w:ascii="DecimaWE Rg" w:hAnsi="DecimaWE Rg"/>
          <w:i/>
          <w:sz w:val="20"/>
        </w:rPr>
        <w:t>Tab</w:t>
      </w:r>
      <w:proofErr w:type="spellEnd"/>
      <w:r w:rsidRPr="00C7296F">
        <w:rPr>
          <w:rFonts w:ascii="DecimaWE Rg" w:hAnsi="DecimaWE Rg"/>
          <w:i/>
          <w:sz w:val="20"/>
        </w:rPr>
        <w:t>. 2</w:t>
      </w:r>
      <w:r>
        <w:rPr>
          <w:rFonts w:ascii="DecimaWE Rg" w:hAnsi="DecimaWE Rg"/>
          <w:i/>
          <w:sz w:val="20"/>
        </w:rPr>
        <w:t xml:space="preserve"> – Distribuzione per UTI</w:t>
      </w:r>
      <w:r w:rsidRPr="00C7296F">
        <w:rPr>
          <w:rFonts w:ascii="DecimaWE Rg" w:hAnsi="DecimaWE Rg"/>
          <w:i/>
          <w:sz w:val="20"/>
        </w:rPr>
        <w:t xml:space="preserve"> dei Patti di inclusione, per</w:t>
      </w:r>
      <w:r>
        <w:rPr>
          <w:rFonts w:ascii="DecimaWE Rg" w:hAnsi="DecimaWE Rg"/>
          <w:i/>
          <w:sz w:val="20"/>
        </w:rPr>
        <w:t xml:space="preserve">centuale di nuclei beneficiari </w:t>
      </w:r>
      <w:r w:rsidRPr="00C7296F">
        <w:rPr>
          <w:rFonts w:ascii="DecimaWE Rg" w:hAnsi="DecimaWE Rg"/>
          <w:i/>
          <w:sz w:val="20"/>
        </w:rPr>
        <w:t xml:space="preserve">con patto. Evidenza dei patti con obiettivi solamente in area sociale, valore assoluto e percentuale e di quelli contenenti anche obiettivi in area lavoro o formazione, valore assoluto e percentuale. </w:t>
      </w:r>
    </w:p>
    <w:p w:rsidR="004B2DA8" w:rsidRDefault="009F6CA2" w:rsidP="005C09EC">
      <w:pPr>
        <w:spacing w:after="0" w:line="240" w:lineRule="auto"/>
        <w:jc w:val="both"/>
        <w:rPr>
          <w:rFonts w:ascii="DecimaWE Rg" w:hAnsi="DecimaWE Rg"/>
          <w:i/>
          <w:sz w:val="20"/>
        </w:rPr>
      </w:pPr>
      <w:r>
        <w:rPr>
          <w:noProof/>
          <w:lang w:eastAsia="it-IT"/>
        </w:rPr>
        <w:drawing>
          <wp:inline distT="0" distB="0" distL="0" distR="0" wp14:anchorId="1169F38C" wp14:editId="28B0FA48">
            <wp:extent cx="6066790" cy="3665855"/>
            <wp:effectExtent l="0" t="0" r="0" b="0"/>
            <wp:docPr id="1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6790" cy="3665855"/>
                    </a:xfrm>
                    <a:prstGeom prst="rect">
                      <a:avLst/>
                    </a:prstGeom>
                    <a:noFill/>
                    <a:ln>
                      <a:noFill/>
                    </a:ln>
                  </pic:spPr>
                </pic:pic>
              </a:graphicData>
            </a:graphic>
          </wp:inline>
        </w:drawing>
      </w:r>
    </w:p>
    <w:p w:rsidR="004B2DA8" w:rsidRDefault="004B2DA8" w:rsidP="005C09EC">
      <w:pPr>
        <w:spacing w:after="0"/>
        <w:jc w:val="both"/>
        <w:rPr>
          <w:rFonts w:ascii="DecimaWE Rg" w:hAnsi="DecimaWE Rg"/>
          <w:i/>
          <w:sz w:val="18"/>
          <w:szCs w:val="18"/>
        </w:rPr>
      </w:pPr>
      <w:r w:rsidRPr="00B64C6A">
        <w:rPr>
          <w:rFonts w:ascii="DecimaWE Rg" w:hAnsi="DecimaWE Rg"/>
          <w:i/>
          <w:sz w:val="18"/>
          <w:szCs w:val="18"/>
        </w:rPr>
        <w:t>Fonte: SIMIA CRM patti riferiti ai nuclei beneficiari con domande presentate dal 01/01/2017 – 31/12/2017; estrazione dati al 09/05/2018.</w:t>
      </w:r>
    </w:p>
    <w:p w:rsidR="0094643A" w:rsidRDefault="0094643A" w:rsidP="005C09EC">
      <w:pPr>
        <w:spacing w:after="0"/>
        <w:jc w:val="both"/>
        <w:rPr>
          <w:rFonts w:ascii="DecimaWE Rg" w:hAnsi="DecimaWE Rg"/>
          <w:i/>
          <w:sz w:val="18"/>
          <w:szCs w:val="18"/>
        </w:rPr>
      </w:pPr>
    </w:p>
    <w:p w:rsidR="0094643A" w:rsidRDefault="0094643A" w:rsidP="0094643A">
      <w:pPr>
        <w:spacing w:after="0"/>
        <w:jc w:val="both"/>
        <w:rPr>
          <w:rFonts w:ascii="DecimaWE Rg" w:hAnsi="DecimaWE Rg"/>
        </w:rPr>
      </w:pPr>
      <w:r w:rsidRPr="00F13C9C">
        <w:rPr>
          <w:rFonts w:ascii="DecimaWE Rg" w:hAnsi="DecimaWE Rg"/>
        </w:rPr>
        <w:t>Gli obiettivi complessivamente individuati nei patti qui monitorati sono quasi 19.000, con una media di 2,5 obiettivi per patto a livello regionale, media che sale oltre i 3 obiettivi per patto nelle UTI Agro Aquileiese (in media 3,7 obiettivi per patto), Carso Isonzo Adriatico (in media 3,2 obiettivi per patto) e Medio Friuli (in media 3,1 obiettivi per patto). I progetti impegnano al raggiungimento di obiettivi specifici 0ltre 10.500 componenti dei nuclei (44% del totale dei componenti beneficiari della misura): escludendo le famiglie unipersonali, il numero medio di componenti per nucleo impegnati al ra</w:t>
      </w:r>
      <w:r>
        <w:rPr>
          <w:rFonts w:ascii="DecimaWE Rg" w:hAnsi="DecimaWE Rg"/>
        </w:rPr>
        <w:t>ggiungimento degli obiettivi dei</w:t>
      </w:r>
      <w:r w:rsidRPr="00F13C9C">
        <w:rPr>
          <w:rFonts w:ascii="DecimaWE Rg" w:hAnsi="DecimaWE Rg"/>
        </w:rPr>
        <w:t xml:space="preserve"> patti è pari a 1,7.</w:t>
      </w:r>
    </w:p>
    <w:p w:rsidR="0094643A" w:rsidRPr="00B64C6A" w:rsidRDefault="0094643A" w:rsidP="005C09EC">
      <w:pPr>
        <w:spacing w:after="0"/>
        <w:jc w:val="both"/>
        <w:rPr>
          <w:rFonts w:ascii="DecimaWE Rg" w:hAnsi="DecimaWE Rg"/>
          <w:i/>
          <w:sz w:val="18"/>
          <w:szCs w:val="18"/>
        </w:rPr>
      </w:pPr>
    </w:p>
    <w:p w:rsidR="004B2DA8" w:rsidRDefault="004B2DA8" w:rsidP="001A5008">
      <w:pPr>
        <w:rPr>
          <w:rFonts w:ascii="DecimaWE Rg" w:hAnsi="DecimaWE Rg"/>
          <w:i/>
          <w:sz w:val="20"/>
        </w:rPr>
      </w:pPr>
      <w:r>
        <w:rPr>
          <w:rFonts w:ascii="DecimaWE Rg" w:hAnsi="DecimaWE Rg"/>
          <w:sz w:val="20"/>
        </w:rPr>
        <w:br w:type="page"/>
      </w:r>
      <w:r>
        <w:rPr>
          <w:rFonts w:ascii="DecimaWE Rg" w:hAnsi="DecimaWE Rg"/>
          <w:i/>
          <w:sz w:val="20"/>
        </w:rPr>
        <w:lastRenderedPageBreak/>
        <w:t>Graf. 9</w:t>
      </w:r>
      <w:r w:rsidRPr="00C7296F">
        <w:rPr>
          <w:rFonts w:ascii="DecimaWE Rg" w:hAnsi="DecimaWE Rg"/>
          <w:i/>
          <w:sz w:val="20"/>
        </w:rPr>
        <w:t xml:space="preserve"> – Distribuzione dei patti per area degli obiettivi in essi contenuti (possibilità di più aree obiettivo per ciascun patto).</w:t>
      </w:r>
    </w:p>
    <w:p w:rsidR="004B2DA8" w:rsidRDefault="009F6CA2" w:rsidP="005C09EC">
      <w:pPr>
        <w:spacing w:after="0" w:line="240" w:lineRule="auto"/>
        <w:jc w:val="both"/>
        <w:rPr>
          <w:rFonts w:ascii="DecimaWE Rg" w:hAnsi="DecimaWE Rg"/>
          <w:i/>
          <w:sz w:val="20"/>
        </w:rPr>
      </w:pPr>
      <w:r>
        <w:rPr>
          <w:rFonts w:ascii="DecimaWE Rg" w:hAnsi="DecimaWE Rg"/>
          <w:i/>
          <w:noProof/>
          <w:sz w:val="20"/>
          <w:lang w:eastAsia="it-IT"/>
        </w:rPr>
        <w:drawing>
          <wp:inline distT="0" distB="0" distL="0" distR="0" wp14:anchorId="287E6D61" wp14:editId="1536F82F">
            <wp:extent cx="5883910" cy="2202815"/>
            <wp:effectExtent l="0" t="0" r="0" b="0"/>
            <wp:docPr id="1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3910" cy="2202815"/>
                    </a:xfrm>
                    <a:prstGeom prst="rect">
                      <a:avLst/>
                    </a:prstGeom>
                    <a:noFill/>
                    <a:ln>
                      <a:noFill/>
                    </a:ln>
                  </pic:spPr>
                </pic:pic>
              </a:graphicData>
            </a:graphic>
          </wp:inline>
        </w:drawing>
      </w:r>
    </w:p>
    <w:p w:rsidR="004B2DA8" w:rsidRPr="00B64C6A" w:rsidRDefault="004B2DA8" w:rsidP="005C09EC">
      <w:pPr>
        <w:spacing w:after="0"/>
        <w:jc w:val="both"/>
        <w:rPr>
          <w:rFonts w:ascii="DecimaWE Rg" w:hAnsi="DecimaWE Rg"/>
          <w:i/>
          <w:sz w:val="18"/>
          <w:szCs w:val="18"/>
        </w:rPr>
      </w:pPr>
      <w:r w:rsidRPr="00B64C6A">
        <w:rPr>
          <w:rFonts w:ascii="DecimaWE Rg" w:hAnsi="DecimaWE Rg"/>
          <w:i/>
          <w:sz w:val="18"/>
          <w:szCs w:val="18"/>
        </w:rPr>
        <w:t>Fonte: SIMIA CRM patti riferiti ai nuclei beneficiari con domande presentate dal 01/01/2017 – 31/12/2017; estrazione dati al 09/05/2018.</w:t>
      </w:r>
    </w:p>
    <w:p w:rsidR="004B2DA8" w:rsidRDefault="004B2DA8" w:rsidP="005C09EC">
      <w:pPr>
        <w:spacing w:after="0"/>
        <w:jc w:val="both"/>
        <w:rPr>
          <w:rFonts w:ascii="DecimaWE Rg" w:hAnsi="DecimaWE Rg"/>
        </w:rPr>
      </w:pPr>
    </w:p>
    <w:p w:rsidR="004B2DA8" w:rsidRPr="0038465E" w:rsidRDefault="004B2DA8" w:rsidP="005C09EC">
      <w:pPr>
        <w:spacing w:after="0"/>
        <w:jc w:val="both"/>
        <w:rPr>
          <w:rFonts w:ascii="DecimaWE Rg" w:hAnsi="DecimaWE Rg"/>
        </w:rPr>
      </w:pPr>
      <w:r>
        <w:rPr>
          <w:rFonts w:ascii="DecimaWE Rg" w:hAnsi="DecimaWE Rg"/>
        </w:rPr>
        <w:t>Per quanto riguarda i soggetti attuatori dei patti, in pochi casi vengono indicati servizi diversi dal SSC e, anche i patti contenenti obiettivi in area lavoro e formativa, nella maggior parte dei casi non risultano formalmente condivisi con i Servizi del lavoro (attraverso la validazione da parte di CPI o COR</w:t>
      </w:r>
      <w:r>
        <w:rPr>
          <w:rStyle w:val="Rimandonotaapidipagina"/>
          <w:rFonts w:ascii="DecimaWE Rg" w:hAnsi="DecimaWE Rg"/>
        </w:rPr>
        <w:footnoteReference w:id="25"/>
      </w:r>
      <w:r>
        <w:rPr>
          <w:rFonts w:ascii="DecimaWE Rg" w:hAnsi="DecimaWE Rg"/>
        </w:rPr>
        <w:t xml:space="preserve"> degli obiettivi di competenza sul gestionale CRM di registrazione dei patti), che risultano individuati come soggetti attuatori solo per l’11% dei patti monitorati. Sembrerebbero pertanto permanere anche nel corso del 2017 alcune difficoltà nel raccordo tra i </w:t>
      </w:r>
      <w:r w:rsidRPr="0038465E">
        <w:rPr>
          <w:rFonts w:ascii="DecimaWE Rg" w:hAnsi="DecimaWE Rg"/>
        </w:rPr>
        <w:t xml:space="preserve">diversi servizi, con una diminuzione, almeno a sistema, del coinvolgimento formale dei servizi del lavoro (nel precedente monitoraggio la validazione degli obiettivi da parte del CPI riguardava il 43% dei patti inseriti). </w:t>
      </w:r>
    </w:p>
    <w:p w:rsidR="004B2DA8" w:rsidRDefault="004B2DA8" w:rsidP="005C09EC">
      <w:pPr>
        <w:spacing w:after="0"/>
        <w:jc w:val="both"/>
        <w:rPr>
          <w:rFonts w:ascii="DecimaWE Rg" w:hAnsi="DecimaWE Rg"/>
        </w:rPr>
      </w:pPr>
      <w:r w:rsidRPr="0038465E">
        <w:rPr>
          <w:rFonts w:ascii="DecimaWE Rg" w:hAnsi="DecimaWE Rg"/>
        </w:rPr>
        <w:t>Il dato medio regionale, tuttavia, non rende ragione del grande sforzo di integrazione che si è invece realizzato in</w:t>
      </w:r>
      <w:r>
        <w:rPr>
          <w:rFonts w:ascii="DecimaWE Rg" w:hAnsi="DecimaWE Rg"/>
        </w:rPr>
        <w:t xml:space="preserve"> alcuni territori, che hanno anche potuto beneficiare di un substrato preesistente grazie a precedenti esperienze di integrazione</w:t>
      </w:r>
      <w:r>
        <w:rPr>
          <w:rStyle w:val="Rimandonotaapidipagina"/>
          <w:rFonts w:ascii="DecimaWE Rg" w:hAnsi="DecimaWE Rg"/>
        </w:rPr>
        <w:footnoteReference w:id="26"/>
      </w:r>
      <w:r w:rsidR="00E94D78">
        <w:rPr>
          <w:rFonts w:ascii="DecimaWE Rg" w:hAnsi="DecimaWE Rg"/>
        </w:rPr>
        <w:t>. L</w:t>
      </w:r>
      <w:r>
        <w:rPr>
          <w:rFonts w:ascii="DecimaWE Rg" w:hAnsi="DecimaWE Rg"/>
        </w:rPr>
        <w:t xml:space="preserve">’UTI Agro Aquileiese, ad esempio, vede il 70% dei patti condivisi tra SSC e CPI; l’UTI Riviera Bassa Friulana il 35%; l’UTI Friuli Centrale il 33% e l’UTI Collinare il 26%. </w:t>
      </w:r>
    </w:p>
    <w:p w:rsidR="004B2DA8" w:rsidRPr="00344A13" w:rsidRDefault="004B2DA8" w:rsidP="005C09EC">
      <w:pPr>
        <w:spacing w:after="0"/>
        <w:jc w:val="both"/>
        <w:rPr>
          <w:rFonts w:ascii="DecimaWE Rg" w:hAnsi="DecimaWE Rg"/>
        </w:rPr>
      </w:pPr>
    </w:p>
    <w:p w:rsidR="004B2DA8" w:rsidRDefault="004B2DA8" w:rsidP="005C09EC">
      <w:pPr>
        <w:spacing w:after="0"/>
        <w:jc w:val="both"/>
        <w:rPr>
          <w:rFonts w:ascii="DecimaWE Rg" w:hAnsi="DecimaWE Rg"/>
        </w:rPr>
      </w:pPr>
      <w:r w:rsidRPr="00AD591C">
        <w:rPr>
          <w:rFonts w:ascii="DecimaWE Rg" w:hAnsi="DecimaWE Rg"/>
        </w:rPr>
        <w:t xml:space="preserve">Per quanto concerne infine la sperimentazione dello strumento di </w:t>
      </w:r>
      <w:proofErr w:type="spellStart"/>
      <w:r w:rsidRPr="005535A0">
        <w:rPr>
          <w:rFonts w:ascii="DecimaWE Rg" w:hAnsi="DecimaWE Rg"/>
        </w:rPr>
        <w:t>pre-assessment</w:t>
      </w:r>
      <w:proofErr w:type="spellEnd"/>
      <w:r w:rsidRPr="00AD591C">
        <w:rPr>
          <w:rFonts w:ascii="DecimaWE Rg" w:hAnsi="DecimaWE Rg"/>
        </w:rPr>
        <w:t xml:space="preserve"> dell’</w:t>
      </w:r>
      <w:proofErr w:type="spellStart"/>
      <w:r w:rsidRPr="00AD591C">
        <w:rPr>
          <w:rFonts w:ascii="DecimaWE Rg" w:hAnsi="DecimaWE Rg"/>
        </w:rPr>
        <w:t>occupabilità</w:t>
      </w:r>
      <w:proofErr w:type="spellEnd"/>
      <w:r w:rsidRPr="00AD591C">
        <w:rPr>
          <w:rFonts w:ascii="DecimaWE Rg" w:hAnsi="DecimaWE Rg"/>
        </w:rPr>
        <w:t xml:space="preserve"> – ITO, si evidenzia che esso è stato utilizzato, con la somministrazione del questionario di valutazione</w:t>
      </w:r>
      <w:r>
        <w:rPr>
          <w:rFonts w:ascii="DecimaWE Rg" w:hAnsi="DecimaWE Rg"/>
        </w:rPr>
        <w:t>,</w:t>
      </w:r>
      <w:r w:rsidRPr="00AD591C">
        <w:rPr>
          <w:rFonts w:ascii="DecimaWE Rg" w:hAnsi="DecimaWE Rg"/>
        </w:rPr>
        <w:t xml:space="preserve"> ad almeno uno dei componenti del nucleo, con riferimento al 10% circa dei patti, per un totale di 724 ITO somministrati. Anche in questo caso la somministrazione dello strumento di </w:t>
      </w:r>
      <w:proofErr w:type="spellStart"/>
      <w:r w:rsidRPr="005535A0">
        <w:rPr>
          <w:rFonts w:ascii="DecimaWE Rg" w:hAnsi="DecimaWE Rg"/>
        </w:rPr>
        <w:t>pre-assesment</w:t>
      </w:r>
      <w:proofErr w:type="spellEnd"/>
      <w:r w:rsidRPr="00AD591C">
        <w:rPr>
          <w:rFonts w:ascii="DecimaWE Rg" w:hAnsi="DecimaWE Rg"/>
        </w:rPr>
        <w:t xml:space="preserve"> risulta molto più contenuta rispetto a quanto evidenziato nel precedente monitoraggio (47% dei patti), mentre g</w:t>
      </w:r>
      <w:r>
        <w:rPr>
          <w:rFonts w:ascii="DecimaWE Rg" w:hAnsi="DecimaWE Rg"/>
        </w:rPr>
        <w:t>li esiti ottenuti</w:t>
      </w:r>
      <w:r w:rsidRPr="00AD591C">
        <w:rPr>
          <w:rFonts w:ascii="DecimaWE Rg" w:hAnsi="DecimaWE Rg"/>
        </w:rPr>
        <w:t xml:space="preserve"> evidenziano, in linea con quanto </w:t>
      </w:r>
      <w:r>
        <w:rPr>
          <w:rFonts w:ascii="DecimaWE Rg" w:hAnsi="DecimaWE Rg"/>
        </w:rPr>
        <w:t>evidenziato rispetto alle finalità generali delle progettualità</w:t>
      </w:r>
      <w:r w:rsidRPr="00AD591C">
        <w:rPr>
          <w:rFonts w:ascii="DecimaWE Rg" w:hAnsi="DecimaWE Rg"/>
        </w:rPr>
        <w:t>, la prevalenza di punteggi che orientano la presa in carico dell’utente in area integrata (49%) e in area sociale (45%), mentre le persone con esiti che permettono di orientare la progettazione in area prettamente lavoristica sono solo il 6% del totale dei soggetti su cui è stato sperimentato lo strumento.</w:t>
      </w:r>
      <w:r>
        <w:rPr>
          <w:rFonts w:ascii="DecimaWE Rg" w:hAnsi="DecimaWE Rg"/>
        </w:rPr>
        <w:t xml:space="preserve"> </w:t>
      </w:r>
    </w:p>
    <w:p w:rsidR="004B2DA8" w:rsidRDefault="004B2DA8" w:rsidP="005C09EC">
      <w:pPr>
        <w:spacing w:after="0"/>
        <w:jc w:val="both"/>
        <w:rPr>
          <w:rFonts w:ascii="DecimaWE Rg" w:hAnsi="DecimaWE Rg"/>
        </w:rPr>
      </w:pPr>
      <w:r>
        <w:rPr>
          <w:rFonts w:ascii="DecimaWE Rg" w:hAnsi="DecimaWE Rg"/>
        </w:rPr>
        <w:t>Nella definizione dei patti pertanto l</w:t>
      </w:r>
      <w:r w:rsidRPr="003C6CFA">
        <w:rPr>
          <w:rFonts w:ascii="DecimaWE Rg" w:hAnsi="DecimaWE Rg"/>
        </w:rPr>
        <w:t>’</w:t>
      </w:r>
      <w:r>
        <w:rPr>
          <w:rFonts w:ascii="DecimaWE Rg" w:hAnsi="DecimaWE Rg"/>
        </w:rPr>
        <w:t>individuazione degli obiettivi,</w:t>
      </w:r>
      <w:r w:rsidRPr="003C6CFA">
        <w:rPr>
          <w:rFonts w:ascii="DecimaWE Rg" w:hAnsi="DecimaWE Rg"/>
        </w:rPr>
        <w:t xml:space="preserve"> delle finalità generali</w:t>
      </w:r>
      <w:r>
        <w:rPr>
          <w:rFonts w:ascii="DecimaWE Rg" w:hAnsi="DecimaWE Rg"/>
        </w:rPr>
        <w:t xml:space="preserve"> e dei soggetti attuatori risulta</w:t>
      </w:r>
      <w:r w:rsidRPr="003C6CFA">
        <w:rPr>
          <w:rFonts w:ascii="DecimaWE Rg" w:hAnsi="DecimaWE Rg"/>
        </w:rPr>
        <w:t xml:space="preserve"> condizionata </w:t>
      </w:r>
      <w:r>
        <w:rPr>
          <w:rFonts w:ascii="DecimaWE Rg" w:hAnsi="DecimaWE Rg"/>
        </w:rPr>
        <w:t xml:space="preserve">da numerosi </w:t>
      </w:r>
      <w:r w:rsidRPr="003C6CFA">
        <w:rPr>
          <w:rFonts w:ascii="DecimaWE Rg" w:hAnsi="DecimaWE Rg"/>
        </w:rPr>
        <w:t xml:space="preserve">fattori connessi </w:t>
      </w:r>
      <w:r>
        <w:rPr>
          <w:rFonts w:ascii="DecimaWE Rg" w:hAnsi="DecimaWE Rg"/>
        </w:rPr>
        <w:t xml:space="preserve">sia </w:t>
      </w:r>
      <w:r w:rsidRPr="003C6CFA">
        <w:rPr>
          <w:rFonts w:ascii="DecimaWE Rg" w:hAnsi="DecimaWE Rg"/>
        </w:rPr>
        <w:t>a difficoltà</w:t>
      </w:r>
      <w:r>
        <w:rPr>
          <w:rFonts w:ascii="DecimaWE Rg" w:hAnsi="DecimaWE Rg"/>
        </w:rPr>
        <w:t xml:space="preserve"> o ritardi</w:t>
      </w:r>
      <w:r w:rsidRPr="003C6CFA">
        <w:rPr>
          <w:rFonts w:ascii="DecimaWE Rg" w:hAnsi="DecimaWE Rg"/>
        </w:rPr>
        <w:t xml:space="preserve"> </w:t>
      </w:r>
      <w:r>
        <w:rPr>
          <w:rFonts w:ascii="DecimaWE Rg" w:hAnsi="DecimaWE Rg"/>
        </w:rPr>
        <w:t>nelle procedure di registrazione delle informazioni a sistema, sia a difficoltà nel</w:t>
      </w:r>
      <w:r w:rsidRPr="003C6CFA">
        <w:rPr>
          <w:rFonts w:ascii="DecimaWE Rg" w:hAnsi="DecimaWE Rg"/>
        </w:rPr>
        <w:t xml:space="preserve"> raccordo operativo </w:t>
      </w:r>
      <w:r>
        <w:rPr>
          <w:rFonts w:ascii="DecimaWE Rg" w:hAnsi="DecimaWE Rg"/>
        </w:rPr>
        <w:t xml:space="preserve">e tecnico </w:t>
      </w:r>
      <w:r w:rsidRPr="003C6CFA">
        <w:rPr>
          <w:rFonts w:ascii="DecimaWE Rg" w:hAnsi="DecimaWE Rg"/>
        </w:rPr>
        <w:t xml:space="preserve">tra i </w:t>
      </w:r>
      <w:r>
        <w:rPr>
          <w:rFonts w:ascii="DecimaWE Rg" w:hAnsi="DecimaWE Rg"/>
        </w:rPr>
        <w:t>diversi soggetti coinvolti, ma in molti casi risulta anche legata anche alla metodologia di stesura e predisposizione del patto, agli esiti della valutazione professionale dei casi,</w:t>
      </w:r>
      <w:r w:rsidRPr="003C6CFA">
        <w:rPr>
          <w:rFonts w:ascii="DecimaWE Rg" w:hAnsi="DecimaWE Rg"/>
        </w:rPr>
        <w:t xml:space="preserve"> nonché alle modalità di defi</w:t>
      </w:r>
      <w:r>
        <w:rPr>
          <w:rFonts w:ascii="DecimaWE Rg" w:hAnsi="DecimaWE Rg"/>
        </w:rPr>
        <w:t>nizione e possibilità di negoziazione degli obiettivi specifici</w:t>
      </w:r>
      <w:r w:rsidRPr="003C6CFA">
        <w:rPr>
          <w:rFonts w:ascii="DecimaWE Rg" w:hAnsi="DecimaWE Rg"/>
        </w:rPr>
        <w:t xml:space="preserve"> tra SSC e utente.</w:t>
      </w:r>
    </w:p>
    <w:p w:rsidR="004B2DA8" w:rsidRDefault="004B2DA8" w:rsidP="005C09EC">
      <w:pPr>
        <w:spacing w:after="0"/>
        <w:jc w:val="both"/>
        <w:rPr>
          <w:rFonts w:ascii="DecimaWE Rg" w:hAnsi="DecimaWE Rg"/>
          <w:strike/>
        </w:rPr>
      </w:pPr>
    </w:p>
    <w:p w:rsidR="005A0221" w:rsidRDefault="0094643A" w:rsidP="0094643A">
      <w:pPr>
        <w:pStyle w:val="Titolo1"/>
        <w:jc w:val="center"/>
        <w:rPr>
          <w:rFonts w:ascii="DecimaWE Rg" w:hAnsi="DecimaWE Rg"/>
          <w:color w:val="000000" w:themeColor="text1"/>
          <w:sz w:val="22"/>
          <w:szCs w:val="22"/>
        </w:rPr>
      </w:pPr>
      <w:bookmarkStart w:id="5" w:name="_Toc534813291"/>
      <w:r w:rsidRPr="0094643A">
        <w:rPr>
          <w:rFonts w:ascii="DecimaWE Rg" w:hAnsi="DecimaWE Rg"/>
          <w:color w:val="000000" w:themeColor="text1"/>
          <w:sz w:val="22"/>
          <w:szCs w:val="22"/>
        </w:rPr>
        <w:lastRenderedPageBreak/>
        <w:t>ALLEGATO</w:t>
      </w:r>
      <w:bookmarkEnd w:id="5"/>
    </w:p>
    <w:p w:rsidR="005A0221" w:rsidRPr="002F79F2" w:rsidRDefault="005A0221" w:rsidP="005A0221">
      <w:pPr>
        <w:spacing w:after="0"/>
        <w:jc w:val="center"/>
        <w:rPr>
          <w:rFonts w:ascii="DecimaWE Rg" w:hAnsi="DecimaWE Rg"/>
          <w:b/>
          <w:sz w:val="24"/>
        </w:rPr>
      </w:pPr>
      <w:r w:rsidRPr="002F79F2">
        <w:rPr>
          <w:rFonts w:ascii="DecimaWE Rg" w:hAnsi="DecimaWE Rg"/>
          <w:b/>
          <w:sz w:val="24"/>
        </w:rPr>
        <w:t>APPENDICE STATISTICA</w:t>
      </w:r>
    </w:p>
    <w:p w:rsidR="005A0221" w:rsidRPr="002F79F2" w:rsidRDefault="005A0221" w:rsidP="005A0221">
      <w:pPr>
        <w:spacing w:after="0"/>
        <w:jc w:val="both"/>
        <w:rPr>
          <w:rFonts w:ascii="DecimaWE Rg" w:hAnsi="DecimaWE Rg"/>
          <w:sz w:val="20"/>
          <w:szCs w:val="20"/>
        </w:rPr>
      </w:pPr>
    </w:p>
    <w:p w:rsidR="005A0221" w:rsidRDefault="005A0221" w:rsidP="005A0221">
      <w:pPr>
        <w:spacing w:line="240" w:lineRule="auto"/>
        <w:jc w:val="both"/>
        <w:rPr>
          <w:rFonts w:ascii="DecimaWE Rg" w:hAnsi="DecimaWE Rg"/>
          <w:i/>
          <w:sz w:val="20"/>
          <w:szCs w:val="20"/>
        </w:rPr>
      </w:pPr>
      <w:proofErr w:type="spellStart"/>
      <w:r>
        <w:rPr>
          <w:rFonts w:ascii="DecimaWE Rg" w:hAnsi="DecimaWE Rg"/>
          <w:i/>
          <w:sz w:val="20"/>
          <w:szCs w:val="20"/>
        </w:rPr>
        <w:t>Tab</w:t>
      </w:r>
      <w:proofErr w:type="spellEnd"/>
      <w:r>
        <w:rPr>
          <w:rFonts w:ascii="DecimaWE Rg" w:hAnsi="DecimaWE Rg"/>
          <w:i/>
          <w:sz w:val="20"/>
          <w:szCs w:val="20"/>
        </w:rPr>
        <w:t>. 1 – Distribuzione per UTI</w:t>
      </w:r>
      <w:r w:rsidRPr="002F79F2">
        <w:rPr>
          <w:rFonts w:ascii="DecimaWE Rg" w:hAnsi="DecimaWE Rg"/>
          <w:i/>
          <w:sz w:val="20"/>
          <w:szCs w:val="20"/>
        </w:rPr>
        <w:t xml:space="preserve"> delle domande</w:t>
      </w:r>
      <w:r>
        <w:rPr>
          <w:rFonts w:ascii="DecimaWE Rg" w:hAnsi="DecimaWE Rg"/>
          <w:i/>
          <w:sz w:val="20"/>
          <w:szCs w:val="20"/>
        </w:rPr>
        <w:t xml:space="preserve"> registrate a sistema dal 01/01/2017 al 31/12/2017 per tipologia di domanda: MIA (di cui rinnovi); SIA e MIA (di cui rinnovi). Totale domande e relativa incidenza ogni 10.000 residenti. </w:t>
      </w:r>
    </w:p>
    <w:p w:rsidR="005A0221" w:rsidRDefault="005A0221" w:rsidP="005A0221">
      <w:pPr>
        <w:spacing w:line="240" w:lineRule="auto"/>
        <w:jc w:val="both"/>
        <w:rPr>
          <w:rFonts w:ascii="DecimaWE Rg" w:hAnsi="DecimaWE Rg"/>
          <w:i/>
          <w:sz w:val="20"/>
          <w:szCs w:val="20"/>
        </w:rPr>
      </w:pPr>
      <w:r w:rsidRPr="00414486">
        <w:rPr>
          <w:noProof/>
          <w:lang w:eastAsia="it-IT"/>
        </w:rPr>
        <w:drawing>
          <wp:inline distT="0" distB="0" distL="0" distR="0" wp14:anchorId="78DBE3A9" wp14:editId="26B9BA44">
            <wp:extent cx="6120130" cy="3536457"/>
            <wp:effectExtent l="0" t="0" r="0" b="698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3536457"/>
                    </a:xfrm>
                    <a:prstGeom prst="rect">
                      <a:avLst/>
                    </a:prstGeom>
                    <a:noFill/>
                    <a:ln>
                      <a:noFill/>
                    </a:ln>
                  </pic:spPr>
                </pic:pic>
              </a:graphicData>
            </a:graphic>
          </wp:inline>
        </w:drawing>
      </w:r>
    </w:p>
    <w:p w:rsidR="005A0221" w:rsidRPr="00197CF2" w:rsidRDefault="005A0221" w:rsidP="005A0221">
      <w:pPr>
        <w:spacing w:after="0" w:line="240" w:lineRule="auto"/>
        <w:jc w:val="both"/>
        <w:rPr>
          <w:rFonts w:ascii="DecimaWE Rg" w:hAnsi="DecimaWE Rg"/>
          <w:i/>
          <w:sz w:val="16"/>
          <w:szCs w:val="16"/>
        </w:rPr>
      </w:pPr>
      <w:r w:rsidRPr="00234EB9">
        <w:rPr>
          <w:rFonts w:ascii="DecimaWE Rg" w:hAnsi="DecimaWE Rg"/>
          <w:i/>
          <w:sz w:val="16"/>
          <w:szCs w:val="16"/>
        </w:rPr>
        <w:t xml:space="preserve">Fonte: SIMIA </w:t>
      </w:r>
      <w:proofErr w:type="spellStart"/>
      <w:r>
        <w:rPr>
          <w:rFonts w:ascii="DecimaWE Rg" w:hAnsi="DecimaWE Rg"/>
          <w:i/>
          <w:sz w:val="16"/>
          <w:szCs w:val="16"/>
        </w:rPr>
        <w:t>rif.</w:t>
      </w:r>
      <w:proofErr w:type="spellEnd"/>
      <w:r>
        <w:rPr>
          <w:rFonts w:ascii="DecimaWE Rg" w:hAnsi="DecimaWE Rg"/>
          <w:i/>
          <w:sz w:val="16"/>
          <w:szCs w:val="16"/>
        </w:rPr>
        <w:t xml:space="preserve"> </w:t>
      </w:r>
      <w:r w:rsidRPr="00234EB9">
        <w:rPr>
          <w:rFonts w:ascii="DecimaWE Rg" w:hAnsi="DecimaWE Rg"/>
          <w:i/>
          <w:sz w:val="16"/>
          <w:szCs w:val="16"/>
        </w:rPr>
        <w:t xml:space="preserve">domande dal </w:t>
      </w:r>
      <w:r w:rsidRPr="0024484F">
        <w:rPr>
          <w:rFonts w:ascii="DecimaWE Rg" w:hAnsi="DecimaWE Rg"/>
          <w:i/>
          <w:sz w:val="16"/>
          <w:szCs w:val="16"/>
        </w:rPr>
        <w:t>01/01/2017 al 31/12/2017</w:t>
      </w:r>
      <w:r>
        <w:rPr>
          <w:rFonts w:ascii="DecimaWE Rg" w:hAnsi="DecimaWE Rg"/>
          <w:i/>
          <w:sz w:val="16"/>
          <w:szCs w:val="16"/>
        </w:rPr>
        <w:t xml:space="preserve"> estrazione dati al 21/05/2018</w:t>
      </w:r>
      <w:r w:rsidRPr="00234EB9">
        <w:rPr>
          <w:rFonts w:ascii="DecimaWE Rg" w:hAnsi="DecimaWE Rg"/>
          <w:i/>
          <w:sz w:val="16"/>
          <w:szCs w:val="16"/>
        </w:rPr>
        <w:t>.</w:t>
      </w:r>
      <w:r>
        <w:rPr>
          <w:rFonts w:ascii="DecimaWE Rg" w:hAnsi="DecimaWE Rg"/>
          <w:i/>
          <w:sz w:val="16"/>
          <w:szCs w:val="16"/>
        </w:rPr>
        <w:t xml:space="preserve"> </w:t>
      </w:r>
      <w:r w:rsidRPr="00DD7623">
        <w:rPr>
          <w:rFonts w:ascii="DecimaWE Rg" w:hAnsi="DecimaWE Rg"/>
          <w:i/>
          <w:sz w:val="16"/>
          <w:szCs w:val="16"/>
        </w:rPr>
        <w:t>Dati di flusso; ciascuna domanda o nucleo beneficiario vengono rilevati con riferimento al territorio cui risultano associati alla data di estrazione da sistema.</w:t>
      </w:r>
      <w:r w:rsidRPr="00234EB9">
        <w:rPr>
          <w:rFonts w:ascii="DecimaWE Rg" w:hAnsi="DecimaWE Rg"/>
          <w:i/>
          <w:sz w:val="16"/>
          <w:szCs w:val="16"/>
        </w:rPr>
        <w:t xml:space="preserve"> </w:t>
      </w:r>
      <w:r w:rsidRPr="00197CF2">
        <w:rPr>
          <w:rFonts w:ascii="DecimaWE Rg" w:hAnsi="DecimaWE Rg"/>
          <w:i/>
          <w:sz w:val="16"/>
          <w:szCs w:val="16"/>
        </w:rPr>
        <w:t xml:space="preserve">La </w:t>
      </w:r>
      <w:r>
        <w:rPr>
          <w:rFonts w:ascii="DecimaWE Rg" w:hAnsi="DecimaWE Rg"/>
          <w:i/>
          <w:sz w:val="16"/>
          <w:szCs w:val="16"/>
        </w:rPr>
        <w:t>rappresentazione dei dati fa riferimento alla ripartizione TERRITORIALE</w:t>
      </w:r>
      <w:r w:rsidRPr="00197CF2">
        <w:rPr>
          <w:rFonts w:ascii="DecimaWE Rg" w:hAnsi="DecimaWE Rg"/>
          <w:i/>
          <w:sz w:val="16"/>
          <w:szCs w:val="16"/>
        </w:rPr>
        <w:t xml:space="preserve"> per UTI di appartenenza del Comune a cui risulta associata la gestione della domanda. </w:t>
      </w:r>
      <w:r>
        <w:rPr>
          <w:rFonts w:ascii="DecimaWE Rg" w:hAnsi="DecimaWE Rg"/>
          <w:i/>
          <w:sz w:val="16"/>
          <w:szCs w:val="16"/>
        </w:rPr>
        <w:t xml:space="preserve">Non riflette pertanto la gestione della misura a livello di SSC, se non per i territori dove la gestione del SSC è compiutamente passata all’UTI nel corso del 2017. </w:t>
      </w:r>
    </w:p>
    <w:p w:rsidR="005A0221" w:rsidRDefault="005A0221" w:rsidP="005A0221">
      <w:pPr>
        <w:spacing w:after="0"/>
        <w:jc w:val="both"/>
        <w:rPr>
          <w:rFonts w:ascii="DecimaWE Rg" w:hAnsi="DecimaWE Rg"/>
          <w:i/>
          <w:sz w:val="16"/>
          <w:szCs w:val="16"/>
        </w:rPr>
      </w:pPr>
      <w:r w:rsidRPr="00234EB9">
        <w:rPr>
          <w:rFonts w:ascii="DecimaWE Rg" w:hAnsi="DecimaWE Rg"/>
          <w:i/>
          <w:sz w:val="16"/>
          <w:szCs w:val="16"/>
        </w:rPr>
        <w:t>Per la popolazione residente</w:t>
      </w:r>
      <w:r>
        <w:rPr>
          <w:rFonts w:ascii="DecimaWE Rg" w:hAnsi="DecimaWE Rg"/>
          <w:i/>
          <w:sz w:val="16"/>
          <w:szCs w:val="16"/>
        </w:rPr>
        <w:t>:</w:t>
      </w:r>
      <w:r w:rsidRPr="00234EB9">
        <w:rPr>
          <w:rFonts w:ascii="DecimaWE Rg" w:hAnsi="DecimaWE Rg"/>
          <w:i/>
          <w:sz w:val="16"/>
          <w:szCs w:val="16"/>
        </w:rPr>
        <w:t xml:space="preserve"> </w:t>
      </w:r>
      <w:proofErr w:type="spellStart"/>
      <w:r w:rsidRPr="00234EB9">
        <w:rPr>
          <w:rFonts w:ascii="DecimaWE Rg" w:hAnsi="DecimaWE Rg"/>
          <w:i/>
          <w:sz w:val="16"/>
          <w:szCs w:val="16"/>
        </w:rPr>
        <w:t>DemoIstat</w:t>
      </w:r>
      <w:proofErr w:type="spellEnd"/>
      <w:r w:rsidRPr="00234EB9">
        <w:rPr>
          <w:rFonts w:ascii="DecimaWE Rg" w:hAnsi="DecimaWE Rg"/>
          <w:i/>
          <w:sz w:val="16"/>
          <w:szCs w:val="16"/>
        </w:rPr>
        <w:t xml:space="preserve"> al 01.01.201</w:t>
      </w:r>
      <w:r>
        <w:rPr>
          <w:rFonts w:ascii="DecimaWE Rg" w:hAnsi="DecimaWE Rg"/>
          <w:i/>
          <w:sz w:val="16"/>
          <w:szCs w:val="16"/>
        </w:rPr>
        <w:t>7</w:t>
      </w:r>
      <w:r w:rsidRPr="00234EB9">
        <w:rPr>
          <w:rFonts w:ascii="DecimaWE Rg" w:hAnsi="DecimaWE Rg"/>
          <w:i/>
          <w:sz w:val="16"/>
          <w:szCs w:val="16"/>
        </w:rPr>
        <w:t>.</w:t>
      </w:r>
    </w:p>
    <w:p w:rsidR="005A0221" w:rsidRDefault="005A0221" w:rsidP="005A0221">
      <w:pPr>
        <w:spacing w:after="0" w:line="240" w:lineRule="auto"/>
        <w:jc w:val="both"/>
        <w:rPr>
          <w:rFonts w:ascii="DecimaWE Rg" w:hAnsi="DecimaWE Rg"/>
          <w:i/>
          <w:sz w:val="20"/>
          <w:szCs w:val="20"/>
        </w:rPr>
      </w:pPr>
    </w:p>
    <w:p w:rsidR="005A0221" w:rsidRDefault="005A0221" w:rsidP="005A0221">
      <w:pPr>
        <w:spacing w:after="0" w:line="240" w:lineRule="auto"/>
        <w:jc w:val="both"/>
        <w:rPr>
          <w:rFonts w:ascii="DecimaWE Rg" w:hAnsi="DecimaWE Rg"/>
          <w:i/>
          <w:sz w:val="20"/>
          <w:szCs w:val="20"/>
        </w:rPr>
      </w:pPr>
      <w:r>
        <w:rPr>
          <w:rFonts w:ascii="DecimaWE Rg" w:hAnsi="DecimaWE Rg"/>
          <w:i/>
          <w:sz w:val="20"/>
          <w:szCs w:val="20"/>
        </w:rPr>
        <w:t xml:space="preserve">NOTA: </w:t>
      </w:r>
      <w:r w:rsidRPr="00031703">
        <w:rPr>
          <w:rFonts w:ascii="DecimaWE Rg" w:hAnsi="DecimaWE Rg"/>
          <w:i/>
          <w:sz w:val="20"/>
          <w:szCs w:val="20"/>
        </w:rPr>
        <w:t xml:space="preserve">Il dato relativo alle domande pagate e conseguentemente ai nuclei beneficiari risulta lievemente sottodimensionato </w:t>
      </w:r>
      <w:r>
        <w:rPr>
          <w:rFonts w:ascii="DecimaWE Rg" w:hAnsi="DecimaWE Rg"/>
          <w:i/>
          <w:sz w:val="20"/>
          <w:szCs w:val="20"/>
        </w:rPr>
        <w:t xml:space="preserve">(con particolare riferimento alle domande pervenute nell’ultimo bimestre 2017) </w:t>
      </w:r>
      <w:r w:rsidRPr="00031703">
        <w:rPr>
          <w:rFonts w:ascii="DecimaWE Rg" w:hAnsi="DecimaWE Rg"/>
          <w:i/>
          <w:sz w:val="20"/>
          <w:szCs w:val="20"/>
        </w:rPr>
        <w:t xml:space="preserve">per ragioni imputabili </w:t>
      </w:r>
      <w:r w:rsidRPr="00CA42E7">
        <w:rPr>
          <w:rFonts w:ascii="DecimaWE Rg" w:hAnsi="DecimaWE Rg"/>
          <w:i/>
          <w:sz w:val="20"/>
          <w:szCs w:val="20"/>
        </w:rPr>
        <w:t>a rallentamenti nelle procedure di registrazione delle l</w:t>
      </w:r>
      <w:r>
        <w:rPr>
          <w:rFonts w:ascii="DecimaWE Rg" w:hAnsi="DecimaWE Rg"/>
          <w:i/>
          <w:sz w:val="20"/>
          <w:szCs w:val="20"/>
        </w:rPr>
        <w:t xml:space="preserve">iquidazioni effettuate dai SSC, </w:t>
      </w:r>
      <w:r w:rsidRPr="00CA42E7">
        <w:rPr>
          <w:rFonts w:ascii="DecimaWE Rg" w:hAnsi="DecimaWE Rg"/>
          <w:i/>
          <w:sz w:val="20"/>
          <w:szCs w:val="20"/>
        </w:rPr>
        <w:t>che comportano il non perfetto allineamento del sistema SIMIA con la situazione dei pagamenti realmente effettuati.</w:t>
      </w:r>
    </w:p>
    <w:p w:rsidR="005A0221" w:rsidRDefault="005A0221" w:rsidP="005A0221">
      <w:pPr>
        <w:spacing w:line="240" w:lineRule="auto"/>
        <w:jc w:val="both"/>
        <w:rPr>
          <w:rFonts w:ascii="DecimaWE Rg" w:hAnsi="DecimaWE Rg"/>
          <w:i/>
          <w:sz w:val="20"/>
          <w:szCs w:val="20"/>
        </w:rPr>
      </w:pPr>
    </w:p>
    <w:p w:rsidR="005A0221" w:rsidRDefault="005A0221" w:rsidP="005A0221">
      <w:pPr>
        <w:spacing w:line="240" w:lineRule="auto"/>
        <w:jc w:val="both"/>
        <w:rPr>
          <w:rFonts w:ascii="DecimaWE Rg" w:hAnsi="DecimaWE Rg"/>
          <w:i/>
          <w:sz w:val="20"/>
          <w:szCs w:val="20"/>
        </w:rPr>
      </w:pPr>
    </w:p>
    <w:p w:rsidR="005A0221" w:rsidRDefault="005A0221" w:rsidP="005A0221">
      <w:pPr>
        <w:spacing w:line="240" w:lineRule="auto"/>
        <w:jc w:val="both"/>
        <w:rPr>
          <w:rFonts w:ascii="DecimaWE Rg" w:hAnsi="DecimaWE Rg"/>
          <w:i/>
          <w:sz w:val="20"/>
          <w:szCs w:val="20"/>
        </w:rPr>
      </w:pPr>
    </w:p>
    <w:p w:rsidR="005A0221" w:rsidRDefault="005A0221" w:rsidP="005A0221">
      <w:pPr>
        <w:spacing w:line="240" w:lineRule="auto"/>
        <w:jc w:val="both"/>
        <w:rPr>
          <w:rFonts w:ascii="DecimaWE Rg" w:hAnsi="DecimaWE Rg"/>
          <w:i/>
          <w:sz w:val="20"/>
          <w:szCs w:val="20"/>
        </w:rPr>
      </w:pPr>
    </w:p>
    <w:p w:rsidR="005A0221" w:rsidRDefault="005A0221" w:rsidP="005A0221">
      <w:pPr>
        <w:spacing w:line="240" w:lineRule="auto"/>
        <w:jc w:val="both"/>
        <w:rPr>
          <w:rFonts w:ascii="DecimaWE Rg" w:hAnsi="DecimaWE Rg"/>
          <w:i/>
          <w:sz w:val="20"/>
          <w:szCs w:val="20"/>
        </w:rPr>
      </w:pPr>
    </w:p>
    <w:p w:rsidR="00520295" w:rsidRDefault="00520295" w:rsidP="005A0221">
      <w:pPr>
        <w:spacing w:line="240" w:lineRule="auto"/>
        <w:jc w:val="both"/>
        <w:rPr>
          <w:rFonts w:ascii="DecimaWE Rg" w:hAnsi="DecimaWE Rg"/>
          <w:i/>
          <w:sz w:val="20"/>
          <w:szCs w:val="20"/>
        </w:rPr>
      </w:pPr>
    </w:p>
    <w:p w:rsidR="00520295" w:rsidRDefault="00520295" w:rsidP="005A0221">
      <w:pPr>
        <w:spacing w:line="240" w:lineRule="auto"/>
        <w:jc w:val="both"/>
        <w:rPr>
          <w:rFonts w:ascii="DecimaWE Rg" w:hAnsi="DecimaWE Rg"/>
          <w:i/>
          <w:sz w:val="20"/>
          <w:szCs w:val="20"/>
        </w:rPr>
      </w:pPr>
    </w:p>
    <w:p w:rsidR="001E5DBB" w:rsidRDefault="001E5DBB" w:rsidP="005A0221">
      <w:pPr>
        <w:spacing w:line="240" w:lineRule="auto"/>
        <w:jc w:val="both"/>
        <w:rPr>
          <w:rFonts w:ascii="DecimaWE Rg" w:hAnsi="DecimaWE Rg"/>
          <w:i/>
          <w:sz w:val="20"/>
          <w:szCs w:val="20"/>
        </w:rPr>
      </w:pPr>
      <w:bookmarkStart w:id="6" w:name="_GoBack"/>
      <w:bookmarkEnd w:id="6"/>
    </w:p>
    <w:p w:rsidR="005A0221" w:rsidRDefault="005A0221" w:rsidP="005A0221">
      <w:pPr>
        <w:spacing w:line="240" w:lineRule="auto"/>
        <w:jc w:val="both"/>
        <w:rPr>
          <w:rFonts w:ascii="DecimaWE Rg" w:hAnsi="DecimaWE Rg"/>
          <w:i/>
          <w:sz w:val="20"/>
          <w:szCs w:val="20"/>
        </w:rPr>
      </w:pPr>
    </w:p>
    <w:p w:rsidR="005A0221" w:rsidRDefault="005A0221" w:rsidP="005A0221">
      <w:pPr>
        <w:spacing w:line="240" w:lineRule="auto"/>
        <w:jc w:val="both"/>
        <w:rPr>
          <w:rFonts w:ascii="DecimaWE Rg" w:hAnsi="DecimaWE Rg"/>
          <w:i/>
          <w:sz w:val="20"/>
          <w:szCs w:val="20"/>
        </w:rPr>
      </w:pPr>
    </w:p>
    <w:p w:rsidR="005A0221" w:rsidRDefault="005A0221" w:rsidP="005A0221">
      <w:pPr>
        <w:spacing w:line="240" w:lineRule="auto"/>
        <w:jc w:val="both"/>
        <w:rPr>
          <w:rFonts w:ascii="DecimaWE Rg" w:hAnsi="DecimaWE Rg"/>
          <w:i/>
          <w:sz w:val="20"/>
          <w:szCs w:val="20"/>
        </w:rPr>
      </w:pPr>
      <w:proofErr w:type="spellStart"/>
      <w:r>
        <w:rPr>
          <w:rFonts w:ascii="DecimaWE Rg" w:hAnsi="DecimaWE Rg"/>
          <w:i/>
          <w:sz w:val="20"/>
          <w:szCs w:val="20"/>
        </w:rPr>
        <w:lastRenderedPageBreak/>
        <w:t>Tab</w:t>
      </w:r>
      <w:proofErr w:type="spellEnd"/>
      <w:r>
        <w:rPr>
          <w:rFonts w:ascii="DecimaWE Rg" w:hAnsi="DecimaWE Rg"/>
          <w:i/>
          <w:sz w:val="20"/>
          <w:szCs w:val="20"/>
        </w:rPr>
        <w:t xml:space="preserve">. 2 – Distribuzione per UTI dei nuclei familiari </w:t>
      </w:r>
      <w:r w:rsidRPr="002F79F2">
        <w:rPr>
          <w:rFonts w:ascii="DecimaWE Rg" w:hAnsi="DecimaWE Rg"/>
          <w:i/>
          <w:sz w:val="20"/>
          <w:szCs w:val="20"/>
        </w:rPr>
        <w:t xml:space="preserve">beneficiari </w:t>
      </w:r>
      <w:r>
        <w:rPr>
          <w:rFonts w:ascii="DecimaWE Rg" w:hAnsi="DecimaWE Rg"/>
          <w:i/>
          <w:sz w:val="20"/>
          <w:szCs w:val="20"/>
        </w:rPr>
        <w:t xml:space="preserve">di </w:t>
      </w:r>
      <w:r w:rsidRPr="002F79F2">
        <w:rPr>
          <w:rFonts w:ascii="DecimaWE Rg" w:hAnsi="DecimaWE Rg"/>
          <w:i/>
          <w:sz w:val="20"/>
          <w:szCs w:val="20"/>
        </w:rPr>
        <w:t>MIA</w:t>
      </w:r>
      <w:r>
        <w:rPr>
          <w:rFonts w:ascii="DecimaWE Rg" w:hAnsi="DecimaWE Rg"/>
          <w:i/>
          <w:sz w:val="20"/>
          <w:szCs w:val="20"/>
        </w:rPr>
        <w:t xml:space="preserve"> </w:t>
      </w:r>
      <w:r w:rsidRPr="002F79F2">
        <w:rPr>
          <w:rFonts w:ascii="DecimaWE Rg" w:hAnsi="DecimaWE Rg"/>
          <w:i/>
          <w:sz w:val="20"/>
          <w:szCs w:val="20"/>
        </w:rPr>
        <w:t>(</w:t>
      </w:r>
      <w:r>
        <w:rPr>
          <w:rFonts w:ascii="DecimaWE Rg" w:hAnsi="DecimaWE Rg"/>
          <w:i/>
          <w:sz w:val="20"/>
          <w:szCs w:val="20"/>
        </w:rPr>
        <w:t>con domande presentate dal 01/01/2017 al 31/12/2017 e con almeno un’erogazione monetaria ricevuta al 21/05/2017);</w:t>
      </w:r>
      <w:r w:rsidRPr="002F79F2">
        <w:rPr>
          <w:rFonts w:ascii="DecimaWE Rg" w:hAnsi="DecimaWE Rg"/>
          <w:i/>
          <w:sz w:val="20"/>
          <w:szCs w:val="20"/>
        </w:rPr>
        <w:t xml:space="preserve"> </w:t>
      </w:r>
      <w:r>
        <w:rPr>
          <w:rFonts w:ascii="DecimaWE Rg" w:hAnsi="DecimaWE Rg"/>
          <w:i/>
          <w:sz w:val="20"/>
          <w:szCs w:val="20"/>
        </w:rPr>
        <w:t>numero di famiglie da Bilancio demografico 2016 e incidenza nuclei beneficiari ogni 100 famiglie; numero totale dei componenti e n</w:t>
      </w:r>
      <w:r w:rsidRPr="002F79F2">
        <w:rPr>
          <w:rFonts w:ascii="DecimaWE Rg" w:hAnsi="DecimaWE Rg"/>
          <w:i/>
          <w:sz w:val="20"/>
          <w:szCs w:val="20"/>
        </w:rPr>
        <w:t xml:space="preserve">umero medio </w:t>
      </w:r>
      <w:r>
        <w:rPr>
          <w:rFonts w:ascii="DecimaWE Rg" w:hAnsi="DecimaWE Rg"/>
          <w:i/>
          <w:sz w:val="20"/>
          <w:szCs w:val="20"/>
        </w:rPr>
        <w:t xml:space="preserve">di </w:t>
      </w:r>
      <w:r w:rsidRPr="002F79F2">
        <w:rPr>
          <w:rFonts w:ascii="DecimaWE Rg" w:hAnsi="DecimaWE Rg"/>
          <w:i/>
          <w:sz w:val="20"/>
          <w:szCs w:val="20"/>
        </w:rPr>
        <w:t>componenti</w:t>
      </w:r>
      <w:r>
        <w:rPr>
          <w:rFonts w:ascii="DecimaWE Rg" w:hAnsi="DecimaWE Rg"/>
          <w:i/>
          <w:sz w:val="20"/>
          <w:szCs w:val="20"/>
        </w:rPr>
        <w:t xml:space="preserve"> per i nuclei beneficiari; popolazione residente e</w:t>
      </w:r>
      <w:r w:rsidRPr="002F79F2">
        <w:rPr>
          <w:rFonts w:ascii="DecimaWE Rg" w:hAnsi="DecimaWE Rg"/>
          <w:i/>
          <w:sz w:val="20"/>
          <w:szCs w:val="20"/>
        </w:rPr>
        <w:t xml:space="preserve"> incidenza dei componenti </w:t>
      </w:r>
      <w:r w:rsidR="00E94D78">
        <w:rPr>
          <w:rFonts w:ascii="DecimaWE Rg" w:hAnsi="DecimaWE Rg"/>
          <w:i/>
          <w:sz w:val="20"/>
          <w:szCs w:val="20"/>
        </w:rPr>
        <w:t>de</w:t>
      </w:r>
      <w:r w:rsidRPr="002F79F2">
        <w:rPr>
          <w:rFonts w:ascii="DecimaWE Rg" w:hAnsi="DecimaWE Rg"/>
          <w:i/>
          <w:sz w:val="20"/>
          <w:szCs w:val="20"/>
        </w:rPr>
        <w:t>i nuclei beneficiari ogni 100 residenti.</w:t>
      </w:r>
    </w:p>
    <w:p w:rsidR="005A0221" w:rsidRDefault="005A0221" w:rsidP="005A0221">
      <w:pPr>
        <w:spacing w:line="240" w:lineRule="auto"/>
        <w:jc w:val="both"/>
        <w:rPr>
          <w:rFonts w:ascii="DecimaWE Rg" w:hAnsi="DecimaWE Rg"/>
          <w:i/>
          <w:sz w:val="20"/>
          <w:szCs w:val="20"/>
        </w:rPr>
      </w:pPr>
      <w:r w:rsidRPr="001B51CE">
        <w:rPr>
          <w:noProof/>
          <w:lang w:eastAsia="it-IT"/>
        </w:rPr>
        <w:drawing>
          <wp:inline distT="0" distB="0" distL="0" distR="0" wp14:anchorId="3E2B7D86" wp14:editId="257B47B6">
            <wp:extent cx="6120130" cy="3550997"/>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3550997"/>
                    </a:xfrm>
                    <a:prstGeom prst="rect">
                      <a:avLst/>
                    </a:prstGeom>
                    <a:noFill/>
                    <a:ln>
                      <a:noFill/>
                    </a:ln>
                  </pic:spPr>
                </pic:pic>
              </a:graphicData>
            </a:graphic>
          </wp:inline>
        </w:drawing>
      </w:r>
    </w:p>
    <w:p w:rsidR="005A0221" w:rsidRPr="00197CF2" w:rsidRDefault="005A0221" w:rsidP="005A0221">
      <w:pPr>
        <w:spacing w:after="0" w:line="240" w:lineRule="auto"/>
        <w:jc w:val="both"/>
        <w:rPr>
          <w:rFonts w:ascii="DecimaWE Rg" w:hAnsi="DecimaWE Rg"/>
          <w:i/>
          <w:sz w:val="16"/>
          <w:szCs w:val="16"/>
        </w:rPr>
      </w:pPr>
      <w:r w:rsidRPr="00234EB9">
        <w:rPr>
          <w:rFonts w:ascii="DecimaWE Rg" w:hAnsi="DecimaWE Rg"/>
          <w:i/>
          <w:sz w:val="16"/>
          <w:szCs w:val="16"/>
        </w:rPr>
        <w:t xml:space="preserve">Fonte: SIMIA </w:t>
      </w:r>
      <w:proofErr w:type="spellStart"/>
      <w:r>
        <w:rPr>
          <w:rFonts w:ascii="DecimaWE Rg" w:hAnsi="DecimaWE Rg"/>
          <w:i/>
          <w:sz w:val="16"/>
          <w:szCs w:val="16"/>
        </w:rPr>
        <w:t>rif.</w:t>
      </w:r>
      <w:proofErr w:type="spellEnd"/>
      <w:r>
        <w:rPr>
          <w:rFonts w:ascii="DecimaWE Rg" w:hAnsi="DecimaWE Rg"/>
          <w:i/>
          <w:sz w:val="16"/>
          <w:szCs w:val="16"/>
        </w:rPr>
        <w:t xml:space="preserve"> </w:t>
      </w:r>
      <w:r w:rsidRPr="00234EB9">
        <w:rPr>
          <w:rFonts w:ascii="DecimaWE Rg" w:hAnsi="DecimaWE Rg"/>
          <w:i/>
          <w:sz w:val="16"/>
          <w:szCs w:val="16"/>
        </w:rPr>
        <w:t xml:space="preserve">domande dal </w:t>
      </w:r>
      <w:r w:rsidRPr="0024484F">
        <w:rPr>
          <w:rFonts w:ascii="DecimaWE Rg" w:hAnsi="DecimaWE Rg"/>
          <w:i/>
          <w:sz w:val="16"/>
          <w:szCs w:val="16"/>
        </w:rPr>
        <w:t>01/01/2017 al 31/12/2017</w:t>
      </w:r>
      <w:r>
        <w:rPr>
          <w:rFonts w:ascii="DecimaWE Rg" w:hAnsi="DecimaWE Rg"/>
          <w:i/>
          <w:sz w:val="16"/>
          <w:szCs w:val="16"/>
        </w:rPr>
        <w:t xml:space="preserve"> estrazione dati al 21/05/2018</w:t>
      </w:r>
      <w:r w:rsidRPr="00234EB9">
        <w:rPr>
          <w:rFonts w:ascii="DecimaWE Rg" w:hAnsi="DecimaWE Rg"/>
          <w:i/>
          <w:sz w:val="16"/>
          <w:szCs w:val="16"/>
        </w:rPr>
        <w:t>.</w:t>
      </w:r>
      <w:r>
        <w:rPr>
          <w:rFonts w:ascii="DecimaWE Rg" w:hAnsi="DecimaWE Rg"/>
          <w:i/>
          <w:sz w:val="16"/>
          <w:szCs w:val="16"/>
        </w:rPr>
        <w:t xml:space="preserve"> </w:t>
      </w:r>
      <w:r w:rsidRPr="00DD7623">
        <w:rPr>
          <w:rFonts w:ascii="DecimaWE Rg" w:hAnsi="DecimaWE Rg"/>
          <w:i/>
          <w:sz w:val="16"/>
          <w:szCs w:val="16"/>
        </w:rPr>
        <w:t>Dati di flusso; ciascuna domanda o nucleo beneficiario vengono rilevati con riferimento al territorio cui risultano associati alla data di estrazione da sistema.</w:t>
      </w:r>
      <w:r w:rsidRPr="00234EB9">
        <w:rPr>
          <w:rFonts w:ascii="DecimaWE Rg" w:hAnsi="DecimaWE Rg"/>
          <w:i/>
          <w:sz w:val="16"/>
          <w:szCs w:val="16"/>
        </w:rPr>
        <w:t xml:space="preserve"> </w:t>
      </w:r>
      <w:r w:rsidRPr="00197CF2">
        <w:rPr>
          <w:rFonts w:ascii="DecimaWE Rg" w:hAnsi="DecimaWE Rg"/>
          <w:i/>
          <w:sz w:val="16"/>
          <w:szCs w:val="16"/>
        </w:rPr>
        <w:t xml:space="preserve">La </w:t>
      </w:r>
      <w:r>
        <w:rPr>
          <w:rFonts w:ascii="DecimaWE Rg" w:hAnsi="DecimaWE Rg"/>
          <w:i/>
          <w:sz w:val="16"/>
          <w:szCs w:val="16"/>
        </w:rPr>
        <w:t>rappresentazione dei dati fa riferimento alla ripartizione TERRITORIALE</w:t>
      </w:r>
      <w:r w:rsidRPr="00197CF2">
        <w:rPr>
          <w:rFonts w:ascii="DecimaWE Rg" w:hAnsi="DecimaWE Rg"/>
          <w:i/>
          <w:sz w:val="16"/>
          <w:szCs w:val="16"/>
        </w:rPr>
        <w:t xml:space="preserve"> per UTI di appartenenza del Comune a cui risulta associata la gestione della domanda. </w:t>
      </w:r>
      <w:r>
        <w:rPr>
          <w:rFonts w:ascii="DecimaWE Rg" w:hAnsi="DecimaWE Rg"/>
          <w:i/>
          <w:sz w:val="16"/>
          <w:szCs w:val="16"/>
        </w:rPr>
        <w:t>Non riflette pertanto la gestione della misura a livello di SSC, se non per i territori dove la gestione del SSC è compiutamente passata all’UTI nel corso del 2017.</w:t>
      </w:r>
    </w:p>
    <w:p w:rsidR="005A0221" w:rsidRDefault="005A0221" w:rsidP="005A0221">
      <w:pPr>
        <w:spacing w:after="0"/>
        <w:jc w:val="both"/>
        <w:rPr>
          <w:rFonts w:ascii="DecimaWE Rg" w:hAnsi="DecimaWE Rg"/>
          <w:i/>
          <w:sz w:val="16"/>
          <w:szCs w:val="16"/>
        </w:rPr>
      </w:pPr>
      <w:r>
        <w:rPr>
          <w:rFonts w:ascii="DecimaWE Rg" w:hAnsi="DecimaWE Rg"/>
          <w:i/>
          <w:sz w:val="16"/>
          <w:szCs w:val="16"/>
        </w:rPr>
        <w:t xml:space="preserve">Per le famiglie e la popolazione residente: </w:t>
      </w:r>
      <w:proofErr w:type="spellStart"/>
      <w:r>
        <w:rPr>
          <w:rFonts w:ascii="DecimaWE Rg" w:hAnsi="DecimaWE Rg"/>
          <w:i/>
          <w:sz w:val="16"/>
          <w:szCs w:val="16"/>
        </w:rPr>
        <w:t>Demoistat</w:t>
      </w:r>
      <w:proofErr w:type="spellEnd"/>
      <w:r>
        <w:rPr>
          <w:rFonts w:ascii="DecimaWE Rg" w:hAnsi="DecimaWE Rg"/>
          <w:i/>
          <w:sz w:val="16"/>
          <w:szCs w:val="16"/>
        </w:rPr>
        <w:t>, Bilancio demografico 2016</w:t>
      </w:r>
      <w:r w:rsidRPr="00234EB9">
        <w:rPr>
          <w:rFonts w:ascii="DecimaWE Rg" w:hAnsi="DecimaWE Rg"/>
          <w:i/>
          <w:sz w:val="16"/>
          <w:szCs w:val="16"/>
        </w:rPr>
        <w:t xml:space="preserve"> popolazione residente al 01.01.201</w:t>
      </w:r>
      <w:r>
        <w:rPr>
          <w:rFonts w:ascii="DecimaWE Rg" w:hAnsi="DecimaWE Rg"/>
          <w:i/>
          <w:sz w:val="16"/>
          <w:szCs w:val="16"/>
        </w:rPr>
        <w:t>7</w:t>
      </w:r>
      <w:r w:rsidRPr="00234EB9">
        <w:rPr>
          <w:rFonts w:ascii="DecimaWE Rg" w:hAnsi="DecimaWE Rg"/>
          <w:i/>
          <w:sz w:val="16"/>
          <w:szCs w:val="16"/>
        </w:rPr>
        <w:t>.</w:t>
      </w:r>
    </w:p>
    <w:p w:rsidR="005A0221" w:rsidRDefault="005A0221" w:rsidP="005A0221">
      <w:pPr>
        <w:spacing w:after="0"/>
        <w:jc w:val="both"/>
        <w:rPr>
          <w:rFonts w:ascii="DecimaWE Rg" w:hAnsi="DecimaWE Rg"/>
          <w:i/>
          <w:sz w:val="16"/>
          <w:szCs w:val="16"/>
        </w:rPr>
      </w:pPr>
      <w:r>
        <w:rPr>
          <w:rFonts w:ascii="DecimaWE Rg" w:hAnsi="DecimaWE Rg"/>
          <w:i/>
          <w:sz w:val="16"/>
          <w:szCs w:val="16"/>
        </w:rPr>
        <w:t xml:space="preserve">NOTA: Il numero dei nuclei beneficiari risulta lievemente inferiore rispetto a quello delle domande pagate, in quanto per alcuni nuclei sono state registrate a sistema nel periodo di riferimento domande diverse. </w:t>
      </w: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after="0"/>
        <w:jc w:val="both"/>
        <w:rPr>
          <w:rFonts w:ascii="DecimaWE Rg" w:hAnsi="DecimaWE Rg"/>
          <w:sz w:val="20"/>
          <w:szCs w:val="20"/>
        </w:rPr>
      </w:pPr>
    </w:p>
    <w:p w:rsidR="005A0221" w:rsidRDefault="005A0221" w:rsidP="005A0221">
      <w:pPr>
        <w:spacing w:line="240" w:lineRule="auto"/>
        <w:jc w:val="both"/>
        <w:rPr>
          <w:rFonts w:ascii="DecimaWE Rg" w:hAnsi="DecimaWE Rg"/>
          <w:i/>
          <w:sz w:val="20"/>
          <w:szCs w:val="20"/>
        </w:rPr>
      </w:pPr>
      <w:proofErr w:type="spellStart"/>
      <w:r>
        <w:rPr>
          <w:rFonts w:ascii="DecimaWE Rg" w:hAnsi="DecimaWE Rg"/>
          <w:i/>
          <w:sz w:val="20"/>
          <w:szCs w:val="20"/>
        </w:rPr>
        <w:lastRenderedPageBreak/>
        <w:t>Tab</w:t>
      </w:r>
      <w:proofErr w:type="spellEnd"/>
      <w:r>
        <w:rPr>
          <w:rFonts w:ascii="DecimaWE Rg" w:hAnsi="DecimaWE Rg"/>
          <w:i/>
          <w:sz w:val="20"/>
          <w:szCs w:val="20"/>
        </w:rPr>
        <w:t xml:space="preserve">. 3 – Distribuzione per UTI dei nuclei familiari </w:t>
      </w:r>
      <w:r w:rsidRPr="002F79F2">
        <w:rPr>
          <w:rFonts w:ascii="DecimaWE Rg" w:hAnsi="DecimaWE Rg"/>
          <w:i/>
          <w:sz w:val="20"/>
          <w:szCs w:val="20"/>
        </w:rPr>
        <w:t xml:space="preserve">beneficiari </w:t>
      </w:r>
      <w:r w:rsidR="00E94D78">
        <w:rPr>
          <w:rFonts w:ascii="DecimaWE Rg" w:hAnsi="DecimaWE Rg"/>
          <w:i/>
          <w:sz w:val="20"/>
          <w:szCs w:val="20"/>
        </w:rPr>
        <w:t>di MIA e/o MIA+</w:t>
      </w:r>
      <w:r>
        <w:rPr>
          <w:rFonts w:ascii="DecimaWE Rg" w:hAnsi="DecimaWE Rg"/>
          <w:i/>
          <w:sz w:val="20"/>
          <w:szCs w:val="20"/>
        </w:rPr>
        <w:t>SIA con domande presentate dal 22.10.2015 al 31.12.2017 e incidenza nuclei beneficiari ogni 100 famiglie</w:t>
      </w:r>
      <w:r w:rsidR="00E94D78">
        <w:rPr>
          <w:rFonts w:ascii="DecimaWE Rg" w:hAnsi="DecimaWE Rg"/>
          <w:i/>
          <w:sz w:val="20"/>
          <w:szCs w:val="20"/>
        </w:rPr>
        <w:t>.</w:t>
      </w:r>
    </w:p>
    <w:p w:rsidR="005A0221" w:rsidRDefault="005A0221" w:rsidP="005A0221">
      <w:pPr>
        <w:spacing w:line="240" w:lineRule="auto"/>
        <w:jc w:val="both"/>
        <w:rPr>
          <w:rFonts w:ascii="DecimaWE Rg" w:hAnsi="DecimaWE Rg"/>
          <w:i/>
          <w:sz w:val="20"/>
          <w:szCs w:val="20"/>
        </w:rPr>
      </w:pPr>
      <w:r w:rsidRPr="00F47226">
        <w:rPr>
          <w:noProof/>
          <w:lang w:eastAsia="it-IT"/>
        </w:rPr>
        <w:drawing>
          <wp:inline distT="0" distB="0" distL="0" distR="0" wp14:anchorId="057AD648" wp14:editId="547B2E5E">
            <wp:extent cx="5736590" cy="354520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6590" cy="3545205"/>
                    </a:xfrm>
                    <a:prstGeom prst="rect">
                      <a:avLst/>
                    </a:prstGeom>
                    <a:noFill/>
                    <a:ln>
                      <a:noFill/>
                    </a:ln>
                  </pic:spPr>
                </pic:pic>
              </a:graphicData>
            </a:graphic>
          </wp:inline>
        </w:drawing>
      </w:r>
    </w:p>
    <w:p w:rsidR="005A0221" w:rsidRDefault="005A0221" w:rsidP="005A0221">
      <w:pPr>
        <w:spacing w:after="0" w:line="240" w:lineRule="auto"/>
        <w:jc w:val="both"/>
        <w:rPr>
          <w:rFonts w:ascii="DecimaWE Rg" w:hAnsi="DecimaWE Rg"/>
          <w:i/>
          <w:sz w:val="16"/>
          <w:szCs w:val="16"/>
        </w:rPr>
      </w:pPr>
      <w:r w:rsidRPr="00234EB9">
        <w:rPr>
          <w:rFonts w:ascii="DecimaWE Rg" w:hAnsi="DecimaWE Rg"/>
          <w:i/>
          <w:sz w:val="16"/>
          <w:szCs w:val="16"/>
        </w:rPr>
        <w:t xml:space="preserve">Fonte: SIMIA </w:t>
      </w:r>
      <w:proofErr w:type="spellStart"/>
      <w:r>
        <w:rPr>
          <w:rFonts w:ascii="DecimaWE Rg" w:hAnsi="DecimaWE Rg"/>
          <w:i/>
          <w:sz w:val="16"/>
          <w:szCs w:val="16"/>
        </w:rPr>
        <w:t>rif.</w:t>
      </w:r>
      <w:proofErr w:type="spellEnd"/>
      <w:r>
        <w:rPr>
          <w:rFonts w:ascii="DecimaWE Rg" w:hAnsi="DecimaWE Rg"/>
          <w:i/>
          <w:sz w:val="16"/>
          <w:szCs w:val="16"/>
        </w:rPr>
        <w:t xml:space="preserve"> </w:t>
      </w:r>
      <w:r w:rsidRPr="00234EB9">
        <w:rPr>
          <w:rFonts w:ascii="DecimaWE Rg" w:hAnsi="DecimaWE Rg"/>
          <w:i/>
          <w:sz w:val="16"/>
          <w:szCs w:val="16"/>
        </w:rPr>
        <w:t xml:space="preserve">domande dal </w:t>
      </w:r>
      <w:r w:rsidRPr="0024484F">
        <w:rPr>
          <w:rFonts w:ascii="DecimaWE Rg" w:hAnsi="DecimaWE Rg"/>
          <w:i/>
          <w:sz w:val="16"/>
          <w:szCs w:val="16"/>
        </w:rPr>
        <w:t>01/01/2017 al 31/12/2017</w:t>
      </w:r>
      <w:r>
        <w:rPr>
          <w:rFonts w:ascii="DecimaWE Rg" w:hAnsi="DecimaWE Rg"/>
          <w:i/>
          <w:sz w:val="16"/>
          <w:szCs w:val="16"/>
        </w:rPr>
        <w:t xml:space="preserve"> estrazione dati al 21/05/2018 e domande dal 22/10/2015 al 31/12/2016 estrazione dati al 17/10/2017. </w:t>
      </w:r>
      <w:r w:rsidRPr="00DD7623">
        <w:rPr>
          <w:rFonts w:ascii="DecimaWE Rg" w:hAnsi="DecimaWE Rg"/>
          <w:i/>
          <w:sz w:val="16"/>
          <w:szCs w:val="16"/>
        </w:rPr>
        <w:t>Dati di flusso; ciascuna domanda o nucleo beneficiario vengono rilevati con riferimento al territorio cui risultano associati alla data di estrazione da sistema.</w:t>
      </w:r>
      <w:r w:rsidRPr="00234EB9">
        <w:rPr>
          <w:rFonts w:ascii="DecimaWE Rg" w:hAnsi="DecimaWE Rg"/>
          <w:i/>
          <w:sz w:val="16"/>
          <w:szCs w:val="16"/>
        </w:rPr>
        <w:t xml:space="preserve"> </w:t>
      </w:r>
      <w:r w:rsidRPr="00197CF2">
        <w:rPr>
          <w:rFonts w:ascii="DecimaWE Rg" w:hAnsi="DecimaWE Rg"/>
          <w:i/>
          <w:sz w:val="16"/>
          <w:szCs w:val="16"/>
        </w:rPr>
        <w:t xml:space="preserve">La </w:t>
      </w:r>
      <w:r>
        <w:rPr>
          <w:rFonts w:ascii="DecimaWE Rg" w:hAnsi="DecimaWE Rg"/>
          <w:i/>
          <w:sz w:val="16"/>
          <w:szCs w:val="16"/>
        </w:rPr>
        <w:t>rappresentazione dei dati fa riferimento alla ripartizione TERRITORIALE</w:t>
      </w:r>
      <w:r w:rsidRPr="00197CF2">
        <w:rPr>
          <w:rFonts w:ascii="DecimaWE Rg" w:hAnsi="DecimaWE Rg"/>
          <w:i/>
          <w:sz w:val="16"/>
          <w:szCs w:val="16"/>
        </w:rPr>
        <w:t xml:space="preserve"> per UTI di appartenenza del Comune a cui risulta associata la gestione della domanda. </w:t>
      </w:r>
      <w:r>
        <w:rPr>
          <w:rFonts w:ascii="DecimaWE Rg" w:hAnsi="DecimaWE Rg"/>
          <w:i/>
          <w:sz w:val="16"/>
          <w:szCs w:val="16"/>
        </w:rPr>
        <w:t>Non riflette pertanto la gestione della misura a livello di SSC, se non per i territori dove la gestione del SSC è compiutamente passata all’UTI nel corso del 2017. Per le famiglie ISTAT Bilancio demografico 2016.</w:t>
      </w:r>
      <w:r w:rsidRPr="00234EB9">
        <w:rPr>
          <w:rFonts w:ascii="DecimaWE Rg" w:hAnsi="DecimaWE Rg"/>
          <w:i/>
          <w:sz w:val="16"/>
          <w:szCs w:val="16"/>
        </w:rPr>
        <w:t>.</w:t>
      </w:r>
    </w:p>
    <w:p w:rsidR="005A0221" w:rsidRDefault="005A0221" w:rsidP="005A0221">
      <w:pPr>
        <w:spacing w:line="240" w:lineRule="auto"/>
        <w:jc w:val="both"/>
        <w:rPr>
          <w:rFonts w:ascii="DecimaWE Rg" w:hAnsi="DecimaWE Rg"/>
          <w:i/>
          <w:sz w:val="20"/>
          <w:szCs w:val="20"/>
        </w:rPr>
      </w:pPr>
    </w:p>
    <w:p w:rsidR="005A0221" w:rsidRDefault="005A0221" w:rsidP="005A0221">
      <w:pPr>
        <w:jc w:val="both"/>
        <w:rPr>
          <w:rFonts w:ascii="DecimaWE Rg" w:hAnsi="DecimaWE Rg"/>
          <w:i/>
          <w:sz w:val="20"/>
          <w:szCs w:val="20"/>
        </w:rPr>
      </w:pPr>
      <w:proofErr w:type="spellStart"/>
      <w:r>
        <w:rPr>
          <w:rFonts w:ascii="DecimaWE Rg" w:hAnsi="DecimaWE Rg"/>
          <w:i/>
          <w:sz w:val="20"/>
          <w:szCs w:val="20"/>
        </w:rPr>
        <w:t>Tab</w:t>
      </w:r>
      <w:proofErr w:type="spellEnd"/>
      <w:r>
        <w:rPr>
          <w:rFonts w:ascii="DecimaWE Rg" w:hAnsi="DecimaWE Rg"/>
          <w:i/>
          <w:sz w:val="20"/>
          <w:szCs w:val="20"/>
        </w:rPr>
        <w:t xml:space="preserve">. 4 - </w:t>
      </w:r>
      <w:r w:rsidRPr="002F79F2">
        <w:rPr>
          <w:rFonts w:ascii="DecimaWE Rg" w:hAnsi="DecimaWE Rg"/>
          <w:i/>
          <w:sz w:val="20"/>
          <w:szCs w:val="20"/>
        </w:rPr>
        <w:t xml:space="preserve">Distribuzione </w:t>
      </w:r>
      <w:r>
        <w:rPr>
          <w:rFonts w:ascii="DecimaWE Rg" w:hAnsi="DecimaWE Rg"/>
          <w:i/>
          <w:sz w:val="20"/>
          <w:szCs w:val="20"/>
        </w:rPr>
        <w:t>dei nuclei beneficiari per composizione del nucleo familiare, valori assoluti e percentuali.</w:t>
      </w:r>
    </w:p>
    <w:p w:rsidR="005A0221" w:rsidRDefault="005A0221" w:rsidP="005A0221">
      <w:pPr>
        <w:spacing w:after="0"/>
        <w:jc w:val="both"/>
        <w:rPr>
          <w:rFonts w:ascii="DecimaWE Rg" w:hAnsi="DecimaWE Rg"/>
          <w:i/>
          <w:sz w:val="20"/>
          <w:szCs w:val="20"/>
        </w:rPr>
      </w:pPr>
      <w:r w:rsidRPr="001B51CE">
        <w:rPr>
          <w:noProof/>
          <w:lang w:eastAsia="it-IT"/>
        </w:rPr>
        <w:drawing>
          <wp:inline distT="0" distB="0" distL="0" distR="0" wp14:anchorId="14AEBE6B" wp14:editId="0ECBC26D">
            <wp:extent cx="3476625" cy="1130300"/>
            <wp:effectExtent l="0" t="0" r="952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6625" cy="1130300"/>
                    </a:xfrm>
                    <a:prstGeom prst="rect">
                      <a:avLst/>
                    </a:prstGeom>
                    <a:noFill/>
                    <a:ln>
                      <a:noFill/>
                    </a:ln>
                  </pic:spPr>
                </pic:pic>
              </a:graphicData>
            </a:graphic>
          </wp:inline>
        </w:drawing>
      </w:r>
    </w:p>
    <w:p w:rsidR="005A0221" w:rsidRDefault="005A0221" w:rsidP="005A0221">
      <w:pPr>
        <w:spacing w:after="0" w:line="240" w:lineRule="auto"/>
        <w:jc w:val="both"/>
        <w:rPr>
          <w:rFonts w:ascii="DecimaWE Rg" w:hAnsi="DecimaWE Rg"/>
          <w:i/>
          <w:sz w:val="16"/>
          <w:szCs w:val="16"/>
        </w:rPr>
      </w:pPr>
      <w:r w:rsidRPr="00234EB9">
        <w:rPr>
          <w:rFonts w:ascii="DecimaWE Rg" w:hAnsi="DecimaWE Rg"/>
          <w:i/>
          <w:sz w:val="16"/>
          <w:szCs w:val="16"/>
        </w:rPr>
        <w:t xml:space="preserve">Fonte: SIMIA </w:t>
      </w:r>
      <w:proofErr w:type="spellStart"/>
      <w:r>
        <w:rPr>
          <w:rFonts w:ascii="DecimaWE Rg" w:hAnsi="DecimaWE Rg"/>
          <w:i/>
          <w:sz w:val="16"/>
          <w:szCs w:val="16"/>
        </w:rPr>
        <w:t>rif.</w:t>
      </w:r>
      <w:proofErr w:type="spellEnd"/>
      <w:r>
        <w:rPr>
          <w:rFonts w:ascii="DecimaWE Rg" w:hAnsi="DecimaWE Rg"/>
          <w:i/>
          <w:sz w:val="16"/>
          <w:szCs w:val="16"/>
        </w:rPr>
        <w:t xml:space="preserve"> domande dal 01/01/2017 al 31</w:t>
      </w:r>
      <w:r w:rsidRPr="00234EB9">
        <w:rPr>
          <w:rFonts w:ascii="DecimaWE Rg" w:hAnsi="DecimaWE Rg"/>
          <w:i/>
          <w:sz w:val="16"/>
          <w:szCs w:val="16"/>
        </w:rPr>
        <w:t>/</w:t>
      </w:r>
      <w:r>
        <w:rPr>
          <w:rFonts w:ascii="DecimaWE Rg" w:hAnsi="DecimaWE Rg"/>
          <w:i/>
          <w:sz w:val="16"/>
          <w:szCs w:val="16"/>
        </w:rPr>
        <w:t>12/2017</w:t>
      </w:r>
      <w:r w:rsidRPr="00234EB9">
        <w:rPr>
          <w:rFonts w:ascii="DecimaWE Rg" w:hAnsi="DecimaWE Rg"/>
          <w:i/>
          <w:sz w:val="16"/>
          <w:szCs w:val="16"/>
        </w:rPr>
        <w:t xml:space="preserve"> </w:t>
      </w:r>
      <w:r>
        <w:rPr>
          <w:rFonts w:ascii="DecimaWE Rg" w:hAnsi="DecimaWE Rg"/>
          <w:i/>
          <w:sz w:val="16"/>
          <w:szCs w:val="16"/>
        </w:rPr>
        <w:t>estrazione dati al 21/05/2018</w:t>
      </w:r>
      <w:r w:rsidRPr="00234EB9">
        <w:rPr>
          <w:rFonts w:ascii="DecimaWE Rg" w:hAnsi="DecimaWE Rg"/>
          <w:i/>
          <w:sz w:val="16"/>
          <w:szCs w:val="16"/>
        </w:rPr>
        <w:t>.</w:t>
      </w:r>
    </w:p>
    <w:p w:rsidR="005A0221" w:rsidRDefault="005A0221" w:rsidP="005A0221">
      <w:pPr>
        <w:spacing w:line="240" w:lineRule="auto"/>
        <w:jc w:val="both"/>
        <w:rPr>
          <w:rFonts w:ascii="DecimaWE Rg" w:hAnsi="DecimaWE Rg"/>
          <w:i/>
          <w:sz w:val="20"/>
          <w:szCs w:val="20"/>
        </w:rPr>
      </w:pPr>
    </w:p>
    <w:p w:rsidR="005A0221" w:rsidRDefault="005A0221" w:rsidP="005A0221">
      <w:pPr>
        <w:spacing w:line="240" w:lineRule="auto"/>
        <w:jc w:val="both"/>
        <w:rPr>
          <w:rFonts w:ascii="DecimaWE Rg" w:hAnsi="DecimaWE Rg"/>
          <w:i/>
          <w:sz w:val="20"/>
          <w:szCs w:val="20"/>
        </w:rPr>
      </w:pPr>
      <w:proofErr w:type="spellStart"/>
      <w:r>
        <w:rPr>
          <w:rFonts w:ascii="DecimaWE Rg" w:hAnsi="DecimaWE Rg"/>
          <w:i/>
          <w:sz w:val="20"/>
          <w:szCs w:val="20"/>
        </w:rPr>
        <w:t>Tab</w:t>
      </w:r>
      <w:proofErr w:type="spellEnd"/>
      <w:r>
        <w:rPr>
          <w:rFonts w:ascii="DecimaWE Rg" w:hAnsi="DecimaWE Rg"/>
          <w:i/>
          <w:sz w:val="20"/>
          <w:szCs w:val="20"/>
        </w:rPr>
        <w:t>. 5</w:t>
      </w:r>
      <w:r w:rsidRPr="002F79F2">
        <w:rPr>
          <w:rFonts w:ascii="DecimaWE Rg" w:hAnsi="DecimaWE Rg"/>
          <w:i/>
          <w:sz w:val="20"/>
          <w:szCs w:val="20"/>
        </w:rPr>
        <w:t xml:space="preserve"> – Distribuzione </w:t>
      </w:r>
      <w:r>
        <w:rPr>
          <w:rFonts w:ascii="DecimaWE Rg" w:hAnsi="DecimaWE Rg"/>
          <w:i/>
          <w:sz w:val="20"/>
          <w:szCs w:val="20"/>
        </w:rPr>
        <w:t>dei nuclei beneficiari per numero di figli presenti all’interno del nucleo familiare, valori assoluti e percentuali.</w:t>
      </w:r>
    </w:p>
    <w:p w:rsidR="005A0221" w:rsidRDefault="005A0221" w:rsidP="005A0221">
      <w:pPr>
        <w:spacing w:after="0" w:line="240" w:lineRule="auto"/>
        <w:jc w:val="both"/>
        <w:rPr>
          <w:rFonts w:ascii="DecimaWE Rg" w:hAnsi="DecimaWE Rg"/>
          <w:i/>
          <w:sz w:val="16"/>
          <w:szCs w:val="16"/>
        </w:rPr>
      </w:pPr>
      <w:r w:rsidRPr="00F47226">
        <w:rPr>
          <w:noProof/>
          <w:lang w:eastAsia="it-IT"/>
        </w:rPr>
        <w:drawing>
          <wp:inline distT="0" distB="0" distL="0" distR="0" wp14:anchorId="39EE81E0" wp14:editId="0DF943A6">
            <wp:extent cx="3476625" cy="1552575"/>
            <wp:effectExtent l="0" t="0" r="9525"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6625" cy="1552575"/>
                    </a:xfrm>
                    <a:prstGeom prst="rect">
                      <a:avLst/>
                    </a:prstGeom>
                    <a:noFill/>
                    <a:ln>
                      <a:noFill/>
                    </a:ln>
                  </pic:spPr>
                </pic:pic>
              </a:graphicData>
            </a:graphic>
          </wp:inline>
        </w:drawing>
      </w:r>
    </w:p>
    <w:p w:rsidR="005A0221" w:rsidRDefault="005A0221" w:rsidP="005A0221">
      <w:pPr>
        <w:spacing w:after="0" w:line="240" w:lineRule="auto"/>
        <w:jc w:val="both"/>
        <w:rPr>
          <w:rFonts w:ascii="DecimaWE Rg" w:hAnsi="DecimaWE Rg"/>
          <w:i/>
          <w:sz w:val="16"/>
          <w:szCs w:val="16"/>
        </w:rPr>
      </w:pPr>
      <w:r w:rsidRPr="00234EB9">
        <w:rPr>
          <w:rFonts w:ascii="DecimaWE Rg" w:hAnsi="DecimaWE Rg"/>
          <w:i/>
          <w:sz w:val="16"/>
          <w:szCs w:val="16"/>
        </w:rPr>
        <w:t xml:space="preserve">Fonte: SIMIA </w:t>
      </w:r>
      <w:proofErr w:type="spellStart"/>
      <w:r>
        <w:rPr>
          <w:rFonts w:ascii="DecimaWE Rg" w:hAnsi="DecimaWE Rg"/>
          <w:i/>
          <w:sz w:val="16"/>
          <w:szCs w:val="16"/>
        </w:rPr>
        <w:t>rif.</w:t>
      </w:r>
      <w:proofErr w:type="spellEnd"/>
      <w:r>
        <w:rPr>
          <w:rFonts w:ascii="DecimaWE Rg" w:hAnsi="DecimaWE Rg"/>
          <w:i/>
          <w:sz w:val="16"/>
          <w:szCs w:val="16"/>
        </w:rPr>
        <w:t xml:space="preserve"> domande dal 01/01/2017 al 31</w:t>
      </w:r>
      <w:r w:rsidRPr="00234EB9">
        <w:rPr>
          <w:rFonts w:ascii="DecimaWE Rg" w:hAnsi="DecimaWE Rg"/>
          <w:i/>
          <w:sz w:val="16"/>
          <w:szCs w:val="16"/>
        </w:rPr>
        <w:t>/</w:t>
      </w:r>
      <w:r>
        <w:rPr>
          <w:rFonts w:ascii="DecimaWE Rg" w:hAnsi="DecimaWE Rg"/>
          <w:i/>
          <w:sz w:val="16"/>
          <w:szCs w:val="16"/>
        </w:rPr>
        <w:t>12/2017</w:t>
      </w:r>
      <w:r w:rsidRPr="00234EB9">
        <w:rPr>
          <w:rFonts w:ascii="DecimaWE Rg" w:hAnsi="DecimaWE Rg"/>
          <w:i/>
          <w:sz w:val="16"/>
          <w:szCs w:val="16"/>
        </w:rPr>
        <w:t xml:space="preserve"> </w:t>
      </w:r>
      <w:r>
        <w:rPr>
          <w:rFonts w:ascii="DecimaWE Rg" w:hAnsi="DecimaWE Rg"/>
          <w:i/>
          <w:sz w:val="16"/>
          <w:szCs w:val="16"/>
        </w:rPr>
        <w:t>estrazione dati al 21/05/2018</w:t>
      </w:r>
      <w:r w:rsidRPr="00234EB9">
        <w:rPr>
          <w:rFonts w:ascii="DecimaWE Rg" w:hAnsi="DecimaWE Rg"/>
          <w:i/>
          <w:sz w:val="16"/>
          <w:szCs w:val="16"/>
        </w:rPr>
        <w:t>.</w:t>
      </w:r>
    </w:p>
    <w:p w:rsidR="005A0221" w:rsidRDefault="005A0221" w:rsidP="005A0221">
      <w:pPr>
        <w:spacing w:line="240" w:lineRule="auto"/>
        <w:jc w:val="both"/>
        <w:rPr>
          <w:rFonts w:ascii="DecimaWE Rg" w:hAnsi="DecimaWE Rg"/>
          <w:i/>
          <w:sz w:val="20"/>
          <w:szCs w:val="20"/>
        </w:rPr>
      </w:pPr>
      <w:proofErr w:type="spellStart"/>
      <w:r w:rsidRPr="00F47226">
        <w:rPr>
          <w:rFonts w:ascii="DecimaWE Rg" w:hAnsi="DecimaWE Rg"/>
          <w:i/>
          <w:sz w:val="20"/>
          <w:szCs w:val="20"/>
        </w:rPr>
        <w:lastRenderedPageBreak/>
        <w:t>Tab</w:t>
      </w:r>
      <w:proofErr w:type="spellEnd"/>
      <w:r w:rsidRPr="00F47226">
        <w:rPr>
          <w:rFonts w:ascii="DecimaWE Rg" w:hAnsi="DecimaWE Rg"/>
          <w:i/>
          <w:sz w:val="20"/>
          <w:szCs w:val="20"/>
        </w:rPr>
        <w:t xml:space="preserve">. </w:t>
      </w:r>
      <w:r>
        <w:rPr>
          <w:rFonts w:ascii="DecimaWE Rg" w:hAnsi="DecimaWE Rg"/>
          <w:i/>
          <w:sz w:val="20"/>
          <w:szCs w:val="20"/>
        </w:rPr>
        <w:t>6</w:t>
      </w:r>
      <w:r w:rsidRPr="00F47226">
        <w:rPr>
          <w:rFonts w:ascii="DecimaWE Rg" w:hAnsi="DecimaWE Rg"/>
          <w:i/>
          <w:sz w:val="20"/>
          <w:szCs w:val="20"/>
        </w:rPr>
        <w:t xml:space="preserve"> – Distribuzione dei </w:t>
      </w:r>
      <w:r>
        <w:rPr>
          <w:rFonts w:ascii="DecimaWE Rg" w:hAnsi="DecimaWE Rg"/>
          <w:i/>
          <w:sz w:val="20"/>
          <w:szCs w:val="20"/>
        </w:rPr>
        <w:t xml:space="preserve">nuclei </w:t>
      </w:r>
      <w:r w:rsidRPr="00F47226">
        <w:rPr>
          <w:rFonts w:ascii="DecimaWE Rg" w:hAnsi="DecimaWE Rg"/>
          <w:i/>
          <w:sz w:val="20"/>
          <w:szCs w:val="20"/>
        </w:rPr>
        <w:t>beneficiari per fasce ISEE alla data di presentazione della domanda, valori assoluti e percentuali.</w:t>
      </w:r>
    </w:p>
    <w:p w:rsidR="005A0221" w:rsidRDefault="005A0221" w:rsidP="005A0221">
      <w:pPr>
        <w:spacing w:after="0" w:line="240" w:lineRule="auto"/>
        <w:jc w:val="both"/>
        <w:rPr>
          <w:rFonts w:ascii="DecimaWE Rg" w:hAnsi="DecimaWE Rg"/>
          <w:i/>
          <w:sz w:val="16"/>
          <w:szCs w:val="16"/>
        </w:rPr>
      </w:pPr>
      <w:r w:rsidRPr="000B38CC">
        <w:rPr>
          <w:noProof/>
          <w:lang w:eastAsia="it-IT"/>
        </w:rPr>
        <w:drawing>
          <wp:inline distT="0" distB="0" distL="0" distR="0" wp14:anchorId="2EA4DF8B" wp14:editId="06209FBB">
            <wp:extent cx="3450590" cy="1302385"/>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50590" cy="1302385"/>
                    </a:xfrm>
                    <a:prstGeom prst="rect">
                      <a:avLst/>
                    </a:prstGeom>
                    <a:noFill/>
                    <a:ln>
                      <a:noFill/>
                    </a:ln>
                  </pic:spPr>
                </pic:pic>
              </a:graphicData>
            </a:graphic>
          </wp:inline>
        </w:drawing>
      </w:r>
    </w:p>
    <w:p w:rsidR="005A0221" w:rsidRDefault="005A0221" w:rsidP="005A0221">
      <w:pPr>
        <w:spacing w:after="0" w:line="240" w:lineRule="auto"/>
        <w:jc w:val="both"/>
        <w:rPr>
          <w:rFonts w:ascii="DecimaWE Rg" w:hAnsi="DecimaWE Rg"/>
          <w:i/>
          <w:sz w:val="16"/>
          <w:szCs w:val="16"/>
        </w:rPr>
      </w:pPr>
      <w:r w:rsidRPr="00234EB9">
        <w:rPr>
          <w:rFonts w:ascii="DecimaWE Rg" w:hAnsi="DecimaWE Rg"/>
          <w:i/>
          <w:sz w:val="16"/>
          <w:szCs w:val="16"/>
        </w:rPr>
        <w:t xml:space="preserve">Fonte: SIMIA </w:t>
      </w:r>
      <w:proofErr w:type="spellStart"/>
      <w:r>
        <w:rPr>
          <w:rFonts w:ascii="DecimaWE Rg" w:hAnsi="DecimaWE Rg"/>
          <w:i/>
          <w:sz w:val="16"/>
          <w:szCs w:val="16"/>
        </w:rPr>
        <w:t>rif.</w:t>
      </w:r>
      <w:proofErr w:type="spellEnd"/>
      <w:r>
        <w:rPr>
          <w:rFonts w:ascii="DecimaWE Rg" w:hAnsi="DecimaWE Rg"/>
          <w:i/>
          <w:sz w:val="16"/>
          <w:szCs w:val="16"/>
        </w:rPr>
        <w:t xml:space="preserve"> domande dal 01/01/2017 al 31</w:t>
      </w:r>
      <w:r w:rsidRPr="00234EB9">
        <w:rPr>
          <w:rFonts w:ascii="DecimaWE Rg" w:hAnsi="DecimaWE Rg"/>
          <w:i/>
          <w:sz w:val="16"/>
          <w:szCs w:val="16"/>
        </w:rPr>
        <w:t>/</w:t>
      </w:r>
      <w:r>
        <w:rPr>
          <w:rFonts w:ascii="DecimaWE Rg" w:hAnsi="DecimaWE Rg"/>
          <w:i/>
          <w:sz w:val="16"/>
          <w:szCs w:val="16"/>
        </w:rPr>
        <w:t>12/2017</w:t>
      </w:r>
      <w:r w:rsidRPr="00234EB9">
        <w:rPr>
          <w:rFonts w:ascii="DecimaWE Rg" w:hAnsi="DecimaWE Rg"/>
          <w:i/>
          <w:sz w:val="16"/>
          <w:szCs w:val="16"/>
        </w:rPr>
        <w:t xml:space="preserve"> </w:t>
      </w:r>
      <w:r>
        <w:rPr>
          <w:rFonts w:ascii="DecimaWE Rg" w:hAnsi="DecimaWE Rg"/>
          <w:i/>
          <w:sz w:val="16"/>
          <w:szCs w:val="16"/>
        </w:rPr>
        <w:t>estrazione dati al 21/05/2018</w:t>
      </w:r>
      <w:r w:rsidRPr="00234EB9">
        <w:rPr>
          <w:rFonts w:ascii="DecimaWE Rg" w:hAnsi="DecimaWE Rg"/>
          <w:i/>
          <w:sz w:val="16"/>
          <w:szCs w:val="16"/>
        </w:rPr>
        <w:t>.</w:t>
      </w:r>
    </w:p>
    <w:p w:rsidR="005A0221" w:rsidRDefault="005A0221" w:rsidP="005A0221">
      <w:pPr>
        <w:spacing w:after="120" w:line="240" w:lineRule="auto"/>
        <w:jc w:val="both"/>
        <w:rPr>
          <w:rFonts w:ascii="DecimaWE Rg" w:hAnsi="DecimaWE Rg"/>
          <w:i/>
          <w:sz w:val="20"/>
          <w:szCs w:val="20"/>
        </w:rPr>
      </w:pPr>
    </w:p>
    <w:p w:rsidR="005A0221" w:rsidRDefault="005A0221" w:rsidP="005A0221">
      <w:pPr>
        <w:spacing w:line="240" w:lineRule="auto"/>
        <w:jc w:val="both"/>
        <w:rPr>
          <w:rFonts w:ascii="DecimaWE Rg" w:hAnsi="DecimaWE Rg"/>
          <w:i/>
          <w:sz w:val="20"/>
          <w:szCs w:val="20"/>
        </w:rPr>
      </w:pPr>
      <w:proofErr w:type="spellStart"/>
      <w:r>
        <w:rPr>
          <w:rFonts w:ascii="DecimaWE Rg" w:hAnsi="DecimaWE Rg"/>
          <w:i/>
          <w:sz w:val="20"/>
          <w:szCs w:val="20"/>
        </w:rPr>
        <w:t>Tab</w:t>
      </w:r>
      <w:proofErr w:type="spellEnd"/>
      <w:r>
        <w:rPr>
          <w:rFonts w:ascii="DecimaWE Rg" w:hAnsi="DecimaWE Rg"/>
          <w:i/>
          <w:sz w:val="20"/>
          <w:szCs w:val="20"/>
        </w:rPr>
        <w:t>. 7</w:t>
      </w:r>
      <w:r w:rsidRPr="002F79F2">
        <w:rPr>
          <w:rFonts w:ascii="DecimaWE Rg" w:hAnsi="DecimaWE Rg"/>
          <w:i/>
          <w:sz w:val="20"/>
          <w:szCs w:val="20"/>
        </w:rPr>
        <w:t xml:space="preserve"> – Distribuzione </w:t>
      </w:r>
      <w:r>
        <w:rPr>
          <w:rFonts w:ascii="DecimaWE Rg" w:hAnsi="DecimaWE Rg"/>
          <w:i/>
          <w:sz w:val="20"/>
          <w:szCs w:val="20"/>
        </w:rPr>
        <w:t>dei nuclei beneficiari per cittadinanza dei componenti, valori assoluti e percentuali.</w:t>
      </w:r>
    </w:p>
    <w:p w:rsidR="005A0221" w:rsidRDefault="005A0221" w:rsidP="005A0221">
      <w:pPr>
        <w:spacing w:after="0" w:line="240" w:lineRule="auto"/>
        <w:jc w:val="both"/>
        <w:rPr>
          <w:rFonts w:ascii="DecimaWE Rg" w:hAnsi="DecimaWE Rg"/>
          <w:i/>
          <w:sz w:val="20"/>
          <w:szCs w:val="20"/>
        </w:rPr>
      </w:pPr>
      <w:r w:rsidRPr="00F47226">
        <w:rPr>
          <w:noProof/>
          <w:lang w:eastAsia="it-IT"/>
        </w:rPr>
        <w:drawing>
          <wp:inline distT="0" distB="0" distL="0" distR="0" wp14:anchorId="2C9C804F" wp14:editId="0AF31318">
            <wp:extent cx="3476625" cy="819785"/>
            <wp:effectExtent l="0" t="0" r="952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6625" cy="819785"/>
                    </a:xfrm>
                    <a:prstGeom prst="rect">
                      <a:avLst/>
                    </a:prstGeom>
                    <a:noFill/>
                    <a:ln>
                      <a:noFill/>
                    </a:ln>
                  </pic:spPr>
                </pic:pic>
              </a:graphicData>
            </a:graphic>
          </wp:inline>
        </w:drawing>
      </w:r>
    </w:p>
    <w:p w:rsidR="005A0221" w:rsidRDefault="005A0221" w:rsidP="005A0221">
      <w:pPr>
        <w:spacing w:after="0" w:line="240" w:lineRule="auto"/>
        <w:jc w:val="both"/>
        <w:rPr>
          <w:rFonts w:ascii="DecimaWE Rg" w:hAnsi="DecimaWE Rg"/>
          <w:i/>
          <w:sz w:val="16"/>
          <w:szCs w:val="16"/>
        </w:rPr>
      </w:pPr>
      <w:r w:rsidRPr="00234EB9">
        <w:rPr>
          <w:rFonts w:ascii="DecimaWE Rg" w:hAnsi="DecimaWE Rg"/>
          <w:i/>
          <w:sz w:val="16"/>
          <w:szCs w:val="16"/>
        </w:rPr>
        <w:t xml:space="preserve">Fonte: SIMIA </w:t>
      </w:r>
      <w:proofErr w:type="spellStart"/>
      <w:r>
        <w:rPr>
          <w:rFonts w:ascii="DecimaWE Rg" w:hAnsi="DecimaWE Rg"/>
          <w:i/>
          <w:sz w:val="16"/>
          <w:szCs w:val="16"/>
        </w:rPr>
        <w:t>rif.</w:t>
      </w:r>
      <w:proofErr w:type="spellEnd"/>
      <w:r>
        <w:rPr>
          <w:rFonts w:ascii="DecimaWE Rg" w:hAnsi="DecimaWE Rg"/>
          <w:i/>
          <w:sz w:val="16"/>
          <w:szCs w:val="16"/>
        </w:rPr>
        <w:t xml:space="preserve"> domande dal 01/01/2017 al 31</w:t>
      </w:r>
      <w:r w:rsidRPr="00234EB9">
        <w:rPr>
          <w:rFonts w:ascii="DecimaWE Rg" w:hAnsi="DecimaWE Rg"/>
          <w:i/>
          <w:sz w:val="16"/>
          <w:szCs w:val="16"/>
        </w:rPr>
        <w:t>/</w:t>
      </w:r>
      <w:r>
        <w:rPr>
          <w:rFonts w:ascii="DecimaWE Rg" w:hAnsi="DecimaWE Rg"/>
          <w:i/>
          <w:sz w:val="16"/>
          <w:szCs w:val="16"/>
        </w:rPr>
        <w:t>12/2017</w:t>
      </w:r>
      <w:r w:rsidRPr="00234EB9">
        <w:rPr>
          <w:rFonts w:ascii="DecimaWE Rg" w:hAnsi="DecimaWE Rg"/>
          <w:i/>
          <w:sz w:val="16"/>
          <w:szCs w:val="16"/>
        </w:rPr>
        <w:t xml:space="preserve"> </w:t>
      </w:r>
      <w:r>
        <w:rPr>
          <w:rFonts w:ascii="DecimaWE Rg" w:hAnsi="DecimaWE Rg"/>
          <w:i/>
          <w:sz w:val="16"/>
          <w:szCs w:val="16"/>
        </w:rPr>
        <w:t>estrazione dati al 21/05/2018</w:t>
      </w:r>
      <w:r w:rsidRPr="00234EB9">
        <w:rPr>
          <w:rFonts w:ascii="DecimaWE Rg" w:hAnsi="DecimaWE Rg"/>
          <w:i/>
          <w:sz w:val="16"/>
          <w:szCs w:val="16"/>
        </w:rPr>
        <w:t>.</w:t>
      </w:r>
    </w:p>
    <w:p w:rsidR="005A0221" w:rsidRDefault="005A0221" w:rsidP="005A0221">
      <w:pPr>
        <w:spacing w:after="120" w:line="240" w:lineRule="auto"/>
        <w:jc w:val="both"/>
        <w:rPr>
          <w:rFonts w:ascii="DecimaWE Rg" w:hAnsi="DecimaWE Rg"/>
          <w:i/>
          <w:sz w:val="20"/>
          <w:szCs w:val="20"/>
        </w:rPr>
      </w:pPr>
    </w:p>
    <w:p w:rsidR="005A0221" w:rsidRDefault="005A0221" w:rsidP="005A0221">
      <w:pPr>
        <w:spacing w:line="240" w:lineRule="auto"/>
        <w:jc w:val="both"/>
        <w:rPr>
          <w:rFonts w:ascii="DecimaWE Rg" w:hAnsi="DecimaWE Rg"/>
          <w:i/>
          <w:sz w:val="20"/>
          <w:szCs w:val="20"/>
        </w:rPr>
      </w:pPr>
      <w:proofErr w:type="spellStart"/>
      <w:r>
        <w:rPr>
          <w:rFonts w:ascii="DecimaWE Rg" w:hAnsi="DecimaWE Rg"/>
          <w:i/>
          <w:sz w:val="20"/>
          <w:szCs w:val="20"/>
        </w:rPr>
        <w:t>Tab</w:t>
      </w:r>
      <w:proofErr w:type="spellEnd"/>
      <w:r>
        <w:rPr>
          <w:rFonts w:ascii="DecimaWE Rg" w:hAnsi="DecimaWE Rg"/>
          <w:i/>
          <w:sz w:val="20"/>
          <w:szCs w:val="20"/>
        </w:rPr>
        <w:t>. 8</w:t>
      </w:r>
      <w:r w:rsidRPr="002F79F2">
        <w:rPr>
          <w:rFonts w:ascii="DecimaWE Rg" w:hAnsi="DecimaWE Rg"/>
          <w:i/>
          <w:sz w:val="20"/>
          <w:szCs w:val="20"/>
        </w:rPr>
        <w:t xml:space="preserve"> – Distribuzione </w:t>
      </w:r>
      <w:r>
        <w:rPr>
          <w:rFonts w:ascii="DecimaWE Rg" w:hAnsi="DecimaWE Rg"/>
          <w:i/>
          <w:sz w:val="20"/>
          <w:szCs w:val="20"/>
        </w:rPr>
        <w:t>di tutti i componenti dei nuclei beneficiari per cittadinanza, valori assoluti e percentuali.</w:t>
      </w:r>
    </w:p>
    <w:p w:rsidR="005A0221" w:rsidRDefault="005A0221" w:rsidP="005A0221">
      <w:pPr>
        <w:spacing w:after="0" w:line="240" w:lineRule="auto"/>
        <w:jc w:val="both"/>
        <w:rPr>
          <w:rFonts w:ascii="DecimaWE Rg" w:hAnsi="DecimaWE Rg"/>
          <w:i/>
          <w:sz w:val="20"/>
          <w:szCs w:val="20"/>
        </w:rPr>
      </w:pPr>
      <w:r w:rsidRPr="00F47226">
        <w:rPr>
          <w:noProof/>
          <w:lang w:eastAsia="it-IT"/>
        </w:rPr>
        <w:drawing>
          <wp:inline distT="0" distB="0" distL="0" distR="0" wp14:anchorId="2A3042A2" wp14:editId="1878FC33">
            <wp:extent cx="3476625" cy="655320"/>
            <wp:effectExtent l="0" t="0" r="9525"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76625" cy="655320"/>
                    </a:xfrm>
                    <a:prstGeom prst="rect">
                      <a:avLst/>
                    </a:prstGeom>
                    <a:noFill/>
                    <a:ln>
                      <a:noFill/>
                    </a:ln>
                  </pic:spPr>
                </pic:pic>
              </a:graphicData>
            </a:graphic>
          </wp:inline>
        </w:drawing>
      </w:r>
    </w:p>
    <w:p w:rsidR="00E94D78" w:rsidRDefault="00E94D78" w:rsidP="00E94D78">
      <w:pPr>
        <w:spacing w:after="0" w:line="240" w:lineRule="auto"/>
        <w:jc w:val="both"/>
        <w:rPr>
          <w:rFonts w:ascii="DecimaWE Rg" w:hAnsi="DecimaWE Rg"/>
          <w:i/>
          <w:sz w:val="16"/>
          <w:szCs w:val="16"/>
        </w:rPr>
      </w:pPr>
      <w:r w:rsidRPr="00234EB9">
        <w:rPr>
          <w:rFonts w:ascii="DecimaWE Rg" w:hAnsi="DecimaWE Rg"/>
          <w:i/>
          <w:sz w:val="16"/>
          <w:szCs w:val="16"/>
        </w:rPr>
        <w:t xml:space="preserve">Fonte: SIMIA </w:t>
      </w:r>
      <w:proofErr w:type="spellStart"/>
      <w:r>
        <w:rPr>
          <w:rFonts w:ascii="DecimaWE Rg" w:hAnsi="DecimaWE Rg"/>
          <w:i/>
          <w:sz w:val="16"/>
          <w:szCs w:val="16"/>
        </w:rPr>
        <w:t>rif.</w:t>
      </w:r>
      <w:proofErr w:type="spellEnd"/>
      <w:r>
        <w:rPr>
          <w:rFonts w:ascii="DecimaWE Rg" w:hAnsi="DecimaWE Rg"/>
          <w:i/>
          <w:sz w:val="16"/>
          <w:szCs w:val="16"/>
        </w:rPr>
        <w:t xml:space="preserve"> domande dal 01/01/2017 al 31</w:t>
      </w:r>
      <w:r w:rsidRPr="00234EB9">
        <w:rPr>
          <w:rFonts w:ascii="DecimaWE Rg" w:hAnsi="DecimaWE Rg"/>
          <w:i/>
          <w:sz w:val="16"/>
          <w:szCs w:val="16"/>
        </w:rPr>
        <w:t>/</w:t>
      </w:r>
      <w:r>
        <w:rPr>
          <w:rFonts w:ascii="DecimaWE Rg" w:hAnsi="DecimaWE Rg"/>
          <w:i/>
          <w:sz w:val="16"/>
          <w:szCs w:val="16"/>
        </w:rPr>
        <w:t>12/2017</w:t>
      </w:r>
      <w:r w:rsidRPr="00234EB9">
        <w:rPr>
          <w:rFonts w:ascii="DecimaWE Rg" w:hAnsi="DecimaWE Rg"/>
          <w:i/>
          <w:sz w:val="16"/>
          <w:szCs w:val="16"/>
        </w:rPr>
        <w:t xml:space="preserve"> </w:t>
      </w:r>
      <w:r>
        <w:rPr>
          <w:rFonts w:ascii="DecimaWE Rg" w:hAnsi="DecimaWE Rg"/>
          <w:i/>
          <w:sz w:val="16"/>
          <w:szCs w:val="16"/>
        </w:rPr>
        <w:t>estrazione dati al 21/05/2018</w:t>
      </w:r>
      <w:r w:rsidRPr="00234EB9">
        <w:rPr>
          <w:rFonts w:ascii="DecimaWE Rg" w:hAnsi="DecimaWE Rg"/>
          <w:i/>
          <w:sz w:val="16"/>
          <w:szCs w:val="16"/>
        </w:rPr>
        <w:t>.</w:t>
      </w:r>
    </w:p>
    <w:p w:rsidR="005A0221" w:rsidRDefault="005A0221" w:rsidP="005A0221">
      <w:pPr>
        <w:spacing w:after="120" w:line="240" w:lineRule="auto"/>
        <w:jc w:val="both"/>
        <w:rPr>
          <w:rFonts w:ascii="DecimaWE Rg" w:hAnsi="DecimaWE Rg"/>
          <w:i/>
          <w:sz w:val="20"/>
          <w:szCs w:val="20"/>
        </w:rPr>
      </w:pPr>
    </w:p>
    <w:p w:rsidR="005A0221" w:rsidRDefault="005A0221" w:rsidP="005A0221">
      <w:pPr>
        <w:spacing w:line="240" w:lineRule="auto"/>
        <w:jc w:val="both"/>
        <w:rPr>
          <w:rFonts w:ascii="DecimaWE Rg" w:hAnsi="DecimaWE Rg"/>
          <w:i/>
          <w:sz w:val="20"/>
          <w:szCs w:val="20"/>
        </w:rPr>
      </w:pPr>
      <w:proofErr w:type="spellStart"/>
      <w:r>
        <w:rPr>
          <w:rFonts w:ascii="DecimaWE Rg" w:hAnsi="DecimaWE Rg"/>
          <w:i/>
          <w:sz w:val="20"/>
          <w:szCs w:val="20"/>
        </w:rPr>
        <w:t>Tab</w:t>
      </w:r>
      <w:proofErr w:type="spellEnd"/>
      <w:r>
        <w:rPr>
          <w:rFonts w:ascii="DecimaWE Rg" w:hAnsi="DecimaWE Rg"/>
          <w:i/>
          <w:sz w:val="20"/>
          <w:szCs w:val="20"/>
        </w:rPr>
        <w:t>. 9</w:t>
      </w:r>
      <w:r w:rsidRPr="002F79F2">
        <w:rPr>
          <w:rFonts w:ascii="DecimaWE Rg" w:hAnsi="DecimaWE Rg"/>
          <w:i/>
          <w:sz w:val="20"/>
          <w:szCs w:val="20"/>
        </w:rPr>
        <w:t xml:space="preserve"> – Distribuzione </w:t>
      </w:r>
      <w:r>
        <w:rPr>
          <w:rFonts w:ascii="DecimaWE Rg" w:hAnsi="DecimaWE Rg"/>
          <w:i/>
          <w:sz w:val="20"/>
          <w:szCs w:val="20"/>
        </w:rPr>
        <w:t>di tutti i componenti dei nuclei beneficiari per paese di nascita, valori assoluti e percentuali.</w:t>
      </w:r>
    </w:p>
    <w:p w:rsidR="005A0221" w:rsidRDefault="005A0221" w:rsidP="005A0221">
      <w:pPr>
        <w:spacing w:after="0" w:line="240" w:lineRule="auto"/>
        <w:jc w:val="both"/>
        <w:rPr>
          <w:rFonts w:ascii="DecimaWE Rg" w:hAnsi="DecimaWE Rg"/>
          <w:i/>
          <w:sz w:val="20"/>
          <w:szCs w:val="20"/>
        </w:rPr>
      </w:pPr>
      <w:r w:rsidRPr="00DA089F">
        <w:rPr>
          <w:noProof/>
          <w:lang w:eastAsia="it-IT"/>
        </w:rPr>
        <w:drawing>
          <wp:inline distT="0" distB="0" distL="0" distR="0" wp14:anchorId="746FDE9B" wp14:editId="02BBD55A">
            <wp:extent cx="3476625" cy="655320"/>
            <wp:effectExtent l="0" t="0" r="9525"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76625" cy="655320"/>
                    </a:xfrm>
                    <a:prstGeom prst="rect">
                      <a:avLst/>
                    </a:prstGeom>
                    <a:noFill/>
                    <a:ln>
                      <a:noFill/>
                    </a:ln>
                  </pic:spPr>
                </pic:pic>
              </a:graphicData>
            </a:graphic>
          </wp:inline>
        </w:drawing>
      </w:r>
    </w:p>
    <w:p w:rsidR="00E94D78" w:rsidRDefault="00E94D78" w:rsidP="00E94D78">
      <w:pPr>
        <w:spacing w:after="0" w:line="240" w:lineRule="auto"/>
        <w:jc w:val="both"/>
        <w:rPr>
          <w:rFonts w:ascii="DecimaWE Rg" w:hAnsi="DecimaWE Rg"/>
          <w:i/>
          <w:sz w:val="16"/>
          <w:szCs w:val="16"/>
        </w:rPr>
      </w:pPr>
      <w:r w:rsidRPr="00234EB9">
        <w:rPr>
          <w:rFonts w:ascii="DecimaWE Rg" w:hAnsi="DecimaWE Rg"/>
          <w:i/>
          <w:sz w:val="16"/>
          <w:szCs w:val="16"/>
        </w:rPr>
        <w:t xml:space="preserve">Fonte: SIMIA </w:t>
      </w:r>
      <w:proofErr w:type="spellStart"/>
      <w:r>
        <w:rPr>
          <w:rFonts w:ascii="DecimaWE Rg" w:hAnsi="DecimaWE Rg"/>
          <w:i/>
          <w:sz w:val="16"/>
          <w:szCs w:val="16"/>
        </w:rPr>
        <w:t>rif.</w:t>
      </w:r>
      <w:proofErr w:type="spellEnd"/>
      <w:r>
        <w:rPr>
          <w:rFonts w:ascii="DecimaWE Rg" w:hAnsi="DecimaWE Rg"/>
          <w:i/>
          <w:sz w:val="16"/>
          <w:szCs w:val="16"/>
        </w:rPr>
        <w:t xml:space="preserve"> domande dal 01/01/2017 al 31</w:t>
      </w:r>
      <w:r w:rsidRPr="00234EB9">
        <w:rPr>
          <w:rFonts w:ascii="DecimaWE Rg" w:hAnsi="DecimaWE Rg"/>
          <w:i/>
          <w:sz w:val="16"/>
          <w:szCs w:val="16"/>
        </w:rPr>
        <w:t>/</w:t>
      </w:r>
      <w:r>
        <w:rPr>
          <w:rFonts w:ascii="DecimaWE Rg" w:hAnsi="DecimaWE Rg"/>
          <w:i/>
          <w:sz w:val="16"/>
          <w:szCs w:val="16"/>
        </w:rPr>
        <w:t>12/2017</w:t>
      </w:r>
      <w:r w:rsidRPr="00234EB9">
        <w:rPr>
          <w:rFonts w:ascii="DecimaWE Rg" w:hAnsi="DecimaWE Rg"/>
          <w:i/>
          <w:sz w:val="16"/>
          <w:szCs w:val="16"/>
        </w:rPr>
        <w:t xml:space="preserve"> </w:t>
      </w:r>
      <w:r>
        <w:rPr>
          <w:rFonts w:ascii="DecimaWE Rg" w:hAnsi="DecimaWE Rg"/>
          <w:i/>
          <w:sz w:val="16"/>
          <w:szCs w:val="16"/>
        </w:rPr>
        <w:t>estrazione dati al 21/05/2018</w:t>
      </w:r>
      <w:r w:rsidRPr="00234EB9">
        <w:rPr>
          <w:rFonts w:ascii="DecimaWE Rg" w:hAnsi="DecimaWE Rg"/>
          <w:i/>
          <w:sz w:val="16"/>
          <w:szCs w:val="16"/>
        </w:rPr>
        <w:t>.</w:t>
      </w:r>
    </w:p>
    <w:p w:rsidR="005A0221" w:rsidRDefault="005A0221" w:rsidP="005A0221">
      <w:pPr>
        <w:spacing w:after="120" w:line="240" w:lineRule="auto"/>
        <w:jc w:val="both"/>
        <w:rPr>
          <w:rFonts w:ascii="DecimaWE Rg" w:hAnsi="DecimaWE Rg"/>
          <w:i/>
          <w:sz w:val="20"/>
          <w:szCs w:val="20"/>
        </w:rPr>
      </w:pPr>
    </w:p>
    <w:p w:rsidR="005A0221" w:rsidRDefault="005A0221" w:rsidP="005A0221">
      <w:pPr>
        <w:spacing w:line="240" w:lineRule="auto"/>
        <w:jc w:val="both"/>
        <w:rPr>
          <w:rFonts w:ascii="DecimaWE Rg" w:hAnsi="DecimaWE Rg"/>
          <w:i/>
          <w:sz w:val="20"/>
          <w:szCs w:val="20"/>
        </w:rPr>
      </w:pPr>
      <w:proofErr w:type="spellStart"/>
      <w:r>
        <w:rPr>
          <w:rFonts w:ascii="DecimaWE Rg" w:hAnsi="DecimaWE Rg"/>
          <w:i/>
          <w:sz w:val="20"/>
          <w:szCs w:val="20"/>
        </w:rPr>
        <w:t>Tab</w:t>
      </w:r>
      <w:proofErr w:type="spellEnd"/>
      <w:r>
        <w:rPr>
          <w:rFonts w:ascii="DecimaWE Rg" w:hAnsi="DecimaWE Rg"/>
          <w:i/>
          <w:sz w:val="20"/>
          <w:szCs w:val="20"/>
        </w:rPr>
        <w:t>. 10</w:t>
      </w:r>
      <w:r w:rsidRPr="002F79F2">
        <w:rPr>
          <w:rFonts w:ascii="DecimaWE Rg" w:hAnsi="DecimaWE Rg"/>
          <w:i/>
          <w:sz w:val="20"/>
          <w:szCs w:val="20"/>
        </w:rPr>
        <w:t xml:space="preserve"> – Distribuzione </w:t>
      </w:r>
      <w:r>
        <w:rPr>
          <w:rFonts w:ascii="DecimaWE Rg" w:hAnsi="DecimaWE Rg"/>
          <w:i/>
          <w:sz w:val="20"/>
          <w:szCs w:val="20"/>
        </w:rPr>
        <w:t>di tutti i componenti dei nuclei beneficiari per condizione professionale</w:t>
      </w:r>
      <w:r>
        <w:rPr>
          <w:rStyle w:val="Rimandonotaapidipagina"/>
          <w:rFonts w:ascii="DecimaWE Rg" w:hAnsi="DecimaWE Rg"/>
          <w:i/>
        </w:rPr>
        <w:footnoteReference w:id="27"/>
      </w:r>
      <w:r>
        <w:rPr>
          <w:rFonts w:ascii="DecimaWE Rg" w:hAnsi="DecimaWE Rg"/>
          <w:i/>
          <w:sz w:val="20"/>
          <w:szCs w:val="20"/>
        </w:rPr>
        <w:t>, valori assoluti e percentuali.</w:t>
      </w:r>
    </w:p>
    <w:p w:rsidR="005A0221" w:rsidRDefault="005A0221" w:rsidP="005A0221">
      <w:pPr>
        <w:spacing w:after="0" w:line="240" w:lineRule="auto"/>
        <w:jc w:val="both"/>
        <w:rPr>
          <w:rFonts w:ascii="DecimaWE Rg" w:hAnsi="DecimaWE Rg"/>
          <w:i/>
          <w:sz w:val="20"/>
          <w:szCs w:val="20"/>
        </w:rPr>
      </w:pPr>
      <w:r w:rsidRPr="00477FE9">
        <w:rPr>
          <w:noProof/>
          <w:lang w:eastAsia="it-IT"/>
        </w:rPr>
        <w:drawing>
          <wp:inline distT="0" distB="0" distL="0" distR="0" wp14:anchorId="7AF48687" wp14:editId="11D9E907">
            <wp:extent cx="3518611" cy="1252895"/>
            <wp:effectExtent l="0" t="0" r="5715" b="444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50218" cy="1264149"/>
                    </a:xfrm>
                    <a:prstGeom prst="rect">
                      <a:avLst/>
                    </a:prstGeom>
                    <a:noFill/>
                    <a:ln>
                      <a:noFill/>
                    </a:ln>
                  </pic:spPr>
                </pic:pic>
              </a:graphicData>
            </a:graphic>
          </wp:inline>
        </w:drawing>
      </w:r>
    </w:p>
    <w:p w:rsidR="00E94D78" w:rsidRDefault="00E94D78" w:rsidP="00E94D78">
      <w:pPr>
        <w:spacing w:after="0" w:line="240" w:lineRule="auto"/>
        <w:jc w:val="both"/>
        <w:rPr>
          <w:rFonts w:ascii="DecimaWE Rg" w:hAnsi="DecimaWE Rg"/>
          <w:i/>
          <w:sz w:val="16"/>
          <w:szCs w:val="16"/>
        </w:rPr>
      </w:pPr>
      <w:r w:rsidRPr="00234EB9">
        <w:rPr>
          <w:rFonts w:ascii="DecimaWE Rg" w:hAnsi="DecimaWE Rg"/>
          <w:i/>
          <w:sz w:val="16"/>
          <w:szCs w:val="16"/>
        </w:rPr>
        <w:t xml:space="preserve">Fonte: SIMIA </w:t>
      </w:r>
      <w:proofErr w:type="spellStart"/>
      <w:r>
        <w:rPr>
          <w:rFonts w:ascii="DecimaWE Rg" w:hAnsi="DecimaWE Rg"/>
          <w:i/>
          <w:sz w:val="16"/>
          <w:szCs w:val="16"/>
        </w:rPr>
        <w:t>rif.</w:t>
      </w:r>
      <w:proofErr w:type="spellEnd"/>
      <w:r>
        <w:rPr>
          <w:rFonts w:ascii="DecimaWE Rg" w:hAnsi="DecimaWE Rg"/>
          <w:i/>
          <w:sz w:val="16"/>
          <w:szCs w:val="16"/>
        </w:rPr>
        <w:t xml:space="preserve"> domande dal 01/01/2017 al 31</w:t>
      </w:r>
      <w:r w:rsidRPr="00234EB9">
        <w:rPr>
          <w:rFonts w:ascii="DecimaWE Rg" w:hAnsi="DecimaWE Rg"/>
          <w:i/>
          <w:sz w:val="16"/>
          <w:szCs w:val="16"/>
        </w:rPr>
        <w:t>/</w:t>
      </w:r>
      <w:r>
        <w:rPr>
          <w:rFonts w:ascii="DecimaWE Rg" w:hAnsi="DecimaWE Rg"/>
          <w:i/>
          <w:sz w:val="16"/>
          <w:szCs w:val="16"/>
        </w:rPr>
        <w:t>12/2017</w:t>
      </w:r>
      <w:r w:rsidRPr="00234EB9">
        <w:rPr>
          <w:rFonts w:ascii="DecimaWE Rg" w:hAnsi="DecimaWE Rg"/>
          <w:i/>
          <w:sz w:val="16"/>
          <w:szCs w:val="16"/>
        </w:rPr>
        <w:t xml:space="preserve"> </w:t>
      </w:r>
      <w:r>
        <w:rPr>
          <w:rFonts w:ascii="DecimaWE Rg" w:hAnsi="DecimaWE Rg"/>
          <w:i/>
          <w:sz w:val="16"/>
          <w:szCs w:val="16"/>
        </w:rPr>
        <w:t>estrazione dati al 21/05/2018</w:t>
      </w:r>
      <w:r w:rsidRPr="00234EB9">
        <w:rPr>
          <w:rFonts w:ascii="DecimaWE Rg" w:hAnsi="DecimaWE Rg"/>
          <w:i/>
          <w:sz w:val="16"/>
          <w:szCs w:val="16"/>
        </w:rPr>
        <w:t>.</w:t>
      </w:r>
    </w:p>
    <w:p w:rsidR="005A0221" w:rsidRDefault="005A0221" w:rsidP="005A0221">
      <w:pPr>
        <w:spacing w:after="120" w:line="240" w:lineRule="auto"/>
        <w:jc w:val="both"/>
        <w:rPr>
          <w:rFonts w:ascii="DecimaWE Rg" w:hAnsi="DecimaWE Rg"/>
          <w:i/>
          <w:sz w:val="20"/>
          <w:szCs w:val="20"/>
        </w:rPr>
      </w:pPr>
    </w:p>
    <w:p w:rsidR="005A0221" w:rsidRDefault="005A0221" w:rsidP="005A0221">
      <w:pPr>
        <w:spacing w:after="120" w:line="240" w:lineRule="auto"/>
        <w:jc w:val="both"/>
        <w:rPr>
          <w:rFonts w:ascii="DecimaWE Rg" w:hAnsi="DecimaWE Rg"/>
          <w:i/>
          <w:sz w:val="20"/>
          <w:szCs w:val="20"/>
        </w:rPr>
      </w:pPr>
    </w:p>
    <w:p w:rsidR="005A0221" w:rsidRDefault="005A0221" w:rsidP="005A0221">
      <w:pPr>
        <w:spacing w:after="120" w:line="240" w:lineRule="auto"/>
        <w:jc w:val="both"/>
        <w:rPr>
          <w:rFonts w:ascii="DecimaWE Rg" w:hAnsi="DecimaWE Rg"/>
          <w:i/>
          <w:sz w:val="20"/>
          <w:szCs w:val="20"/>
        </w:rPr>
      </w:pPr>
    </w:p>
    <w:p w:rsidR="005A0221" w:rsidRDefault="005A0221" w:rsidP="005A0221">
      <w:pPr>
        <w:spacing w:line="240" w:lineRule="auto"/>
        <w:jc w:val="both"/>
        <w:rPr>
          <w:rFonts w:ascii="DecimaWE Rg" w:hAnsi="DecimaWE Rg"/>
          <w:i/>
          <w:sz w:val="20"/>
          <w:szCs w:val="20"/>
        </w:rPr>
      </w:pPr>
      <w:proofErr w:type="spellStart"/>
      <w:r>
        <w:rPr>
          <w:rFonts w:ascii="DecimaWE Rg" w:hAnsi="DecimaWE Rg"/>
          <w:i/>
          <w:sz w:val="20"/>
          <w:szCs w:val="20"/>
        </w:rPr>
        <w:lastRenderedPageBreak/>
        <w:t>Tab</w:t>
      </w:r>
      <w:proofErr w:type="spellEnd"/>
      <w:r>
        <w:rPr>
          <w:rFonts w:ascii="DecimaWE Rg" w:hAnsi="DecimaWE Rg"/>
          <w:i/>
          <w:sz w:val="20"/>
          <w:szCs w:val="20"/>
        </w:rPr>
        <w:t>. 11</w:t>
      </w:r>
      <w:r w:rsidRPr="002F79F2">
        <w:rPr>
          <w:rFonts w:ascii="DecimaWE Rg" w:hAnsi="DecimaWE Rg"/>
          <w:i/>
          <w:sz w:val="20"/>
          <w:szCs w:val="20"/>
        </w:rPr>
        <w:t xml:space="preserve"> – Distribuzione </w:t>
      </w:r>
      <w:r>
        <w:rPr>
          <w:rFonts w:ascii="DecimaWE Rg" w:hAnsi="DecimaWE Rg"/>
          <w:i/>
          <w:sz w:val="20"/>
          <w:szCs w:val="20"/>
        </w:rPr>
        <w:t>dei soli componenti in età da lavoro (15-64 anni) per condizione professionale</w:t>
      </w:r>
      <w:r>
        <w:rPr>
          <w:rFonts w:ascii="DecimaWE Rg" w:hAnsi="DecimaWE Rg"/>
          <w:i/>
          <w:sz w:val="20"/>
          <w:szCs w:val="20"/>
          <w:vertAlign w:val="superscript"/>
        </w:rPr>
        <w:t>1</w:t>
      </w:r>
      <w:r>
        <w:rPr>
          <w:rFonts w:ascii="DecimaWE Rg" w:hAnsi="DecimaWE Rg"/>
          <w:i/>
          <w:sz w:val="20"/>
          <w:szCs w:val="20"/>
        </w:rPr>
        <w:t>, valori assoluti e percentuali.</w:t>
      </w:r>
    </w:p>
    <w:p w:rsidR="005A0221" w:rsidRDefault="005A0221" w:rsidP="005A0221">
      <w:pPr>
        <w:spacing w:after="0" w:line="240" w:lineRule="auto"/>
        <w:jc w:val="both"/>
        <w:rPr>
          <w:rFonts w:ascii="DecimaWE Rg" w:hAnsi="DecimaWE Rg"/>
          <w:i/>
          <w:sz w:val="20"/>
          <w:szCs w:val="20"/>
        </w:rPr>
      </w:pPr>
      <w:r w:rsidRPr="00477FE9">
        <w:rPr>
          <w:noProof/>
          <w:lang w:eastAsia="it-IT"/>
        </w:rPr>
        <w:drawing>
          <wp:inline distT="0" distB="0" distL="0" distR="0" wp14:anchorId="6FCD5EDF" wp14:editId="34BD8D18">
            <wp:extent cx="3382051" cy="2589580"/>
            <wp:effectExtent l="0" t="0" r="8890" b="127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82171" cy="2589672"/>
                    </a:xfrm>
                    <a:prstGeom prst="rect">
                      <a:avLst/>
                    </a:prstGeom>
                    <a:noFill/>
                    <a:ln>
                      <a:noFill/>
                    </a:ln>
                  </pic:spPr>
                </pic:pic>
              </a:graphicData>
            </a:graphic>
          </wp:inline>
        </w:drawing>
      </w:r>
    </w:p>
    <w:p w:rsidR="00E94D78" w:rsidRDefault="00E94D78" w:rsidP="00E94D78">
      <w:pPr>
        <w:spacing w:after="0" w:line="240" w:lineRule="auto"/>
        <w:jc w:val="both"/>
        <w:rPr>
          <w:rFonts w:ascii="DecimaWE Rg" w:hAnsi="DecimaWE Rg"/>
          <w:i/>
          <w:sz w:val="16"/>
          <w:szCs w:val="16"/>
        </w:rPr>
      </w:pPr>
      <w:r w:rsidRPr="00234EB9">
        <w:rPr>
          <w:rFonts w:ascii="DecimaWE Rg" w:hAnsi="DecimaWE Rg"/>
          <w:i/>
          <w:sz w:val="16"/>
          <w:szCs w:val="16"/>
        </w:rPr>
        <w:t xml:space="preserve">Fonte: SIMIA </w:t>
      </w:r>
      <w:proofErr w:type="spellStart"/>
      <w:r>
        <w:rPr>
          <w:rFonts w:ascii="DecimaWE Rg" w:hAnsi="DecimaWE Rg"/>
          <w:i/>
          <w:sz w:val="16"/>
          <w:szCs w:val="16"/>
        </w:rPr>
        <w:t>rif.</w:t>
      </w:r>
      <w:proofErr w:type="spellEnd"/>
      <w:r>
        <w:rPr>
          <w:rFonts w:ascii="DecimaWE Rg" w:hAnsi="DecimaWE Rg"/>
          <w:i/>
          <w:sz w:val="16"/>
          <w:szCs w:val="16"/>
        </w:rPr>
        <w:t xml:space="preserve"> domande dal 01/01/2017 al 31</w:t>
      </w:r>
      <w:r w:rsidRPr="00234EB9">
        <w:rPr>
          <w:rFonts w:ascii="DecimaWE Rg" w:hAnsi="DecimaWE Rg"/>
          <w:i/>
          <w:sz w:val="16"/>
          <w:szCs w:val="16"/>
        </w:rPr>
        <w:t>/</w:t>
      </w:r>
      <w:r>
        <w:rPr>
          <w:rFonts w:ascii="DecimaWE Rg" w:hAnsi="DecimaWE Rg"/>
          <w:i/>
          <w:sz w:val="16"/>
          <w:szCs w:val="16"/>
        </w:rPr>
        <w:t>12/2017</w:t>
      </w:r>
      <w:r w:rsidRPr="00234EB9">
        <w:rPr>
          <w:rFonts w:ascii="DecimaWE Rg" w:hAnsi="DecimaWE Rg"/>
          <w:i/>
          <w:sz w:val="16"/>
          <w:szCs w:val="16"/>
        </w:rPr>
        <w:t xml:space="preserve"> </w:t>
      </w:r>
      <w:r>
        <w:rPr>
          <w:rFonts w:ascii="DecimaWE Rg" w:hAnsi="DecimaWE Rg"/>
          <w:i/>
          <w:sz w:val="16"/>
          <w:szCs w:val="16"/>
        </w:rPr>
        <w:t>estrazione dati al 21/05/2018</w:t>
      </w:r>
      <w:r w:rsidRPr="00234EB9">
        <w:rPr>
          <w:rFonts w:ascii="DecimaWE Rg" w:hAnsi="DecimaWE Rg"/>
          <w:i/>
          <w:sz w:val="16"/>
          <w:szCs w:val="16"/>
        </w:rPr>
        <w:t>.</w:t>
      </w:r>
    </w:p>
    <w:p w:rsidR="005A0221" w:rsidRDefault="005A0221" w:rsidP="005A0221">
      <w:pPr>
        <w:spacing w:line="240" w:lineRule="auto"/>
        <w:jc w:val="both"/>
        <w:rPr>
          <w:rFonts w:ascii="DecimaWE Rg" w:hAnsi="DecimaWE Rg"/>
          <w:i/>
          <w:sz w:val="20"/>
          <w:szCs w:val="20"/>
        </w:rPr>
      </w:pPr>
    </w:p>
    <w:p w:rsidR="005A0221" w:rsidRPr="005169A6" w:rsidRDefault="005A0221" w:rsidP="005A0221">
      <w:pPr>
        <w:spacing w:line="240" w:lineRule="auto"/>
        <w:jc w:val="both"/>
        <w:rPr>
          <w:rFonts w:ascii="DecimaWE Rg" w:hAnsi="DecimaWE Rg"/>
          <w:i/>
          <w:sz w:val="20"/>
          <w:szCs w:val="20"/>
        </w:rPr>
      </w:pPr>
      <w:proofErr w:type="spellStart"/>
      <w:r>
        <w:rPr>
          <w:rFonts w:ascii="DecimaWE Rg" w:hAnsi="DecimaWE Rg"/>
          <w:i/>
          <w:sz w:val="20"/>
          <w:szCs w:val="20"/>
        </w:rPr>
        <w:t>Tab</w:t>
      </w:r>
      <w:proofErr w:type="spellEnd"/>
      <w:r>
        <w:rPr>
          <w:rFonts w:ascii="DecimaWE Rg" w:hAnsi="DecimaWE Rg"/>
          <w:i/>
          <w:sz w:val="20"/>
          <w:szCs w:val="20"/>
        </w:rPr>
        <w:t>. 12</w:t>
      </w:r>
      <w:r w:rsidRPr="005169A6">
        <w:rPr>
          <w:rFonts w:ascii="DecimaWE Rg" w:hAnsi="DecimaWE Rg"/>
          <w:i/>
          <w:sz w:val="20"/>
          <w:szCs w:val="20"/>
        </w:rPr>
        <w:t xml:space="preserve"> – Distribuzione di tutti i componenti </w:t>
      </w:r>
      <w:r>
        <w:rPr>
          <w:rFonts w:ascii="DecimaWE Rg" w:hAnsi="DecimaWE Rg"/>
          <w:i/>
          <w:sz w:val="20"/>
          <w:szCs w:val="20"/>
        </w:rPr>
        <w:t>de</w:t>
      </w:r>
      <w:r w:rsidRPr="005169A6">
        <w:rPr>
          <w:rFonts w:ascii="DecimaWE Rg" w:hAnsi="DecimaWE Rg"/>
          <w:i/>
          <w:sz w:val="20"/>
          <w:szCs w:val="20"/>
        </w:rPr>
        <w:t>i nuclei beneficiari per classe d’età, valori assoluti e percentuali.</w:t>
      </w:r>
    </w:p>
    <w:p w:rsidR="005A0221" w:rsidRDefault="005A0221" w:rsidP="005A0221">
      <w:pPr>
        <w:spacing w:after="0" w:line="240" w:lineRule="auto"/>
        <w:jc w:val="both"/>
        <w:rPr>
          <w:rFonts w:ascii="DecimaWE Rg" w:hAnsi="DecimaWE Rg"/>
          <w:i/>
          <w:sz w:val="20"/>
          <w:szCs w:val="20"/>
        </w:rPr>
      </w:pPr>
      <w:r w:rsidRPr="00DA089F">
        <w:rPr>
          <w:noProof/>
          <w:lang w:eastAsia="it-IT"/>
        </w:rPr>
        <w:drawing>
          <wp:inline distT="0" distB="0" distL="0" distR="0" wp14:anchorId="66DAA3C3" wp14:editId="6CC96C12">
            <wp:extent cx="3476625" cy="2113280"/>
            <wp:effectExtent l="0" t="0" r="9525" b="127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76625" cy="2113280"/>
                    </a:xfrm>
                    <a:prstGeom prst="rect">
                      <a:avLst/>
                    </a:prstGeom>
                    <a:noFill/>
                    <a:ln>
                      <a:noFill/>
                    </a:ln>
                  </pic:spPr>
                </pic:pic>
              </a:graphicData>
            </a:graphic>
          </wp:inline>
        </w:drawing>
      </w:r>
    </w:p>
    <w:p w:rsidR="00E94D78" w:rsidRDefault="00E94D78" w:rsidP="00E94D78">
      <w:pPr>
        <w:spacing w:after="0" w:line="240" w:lineRule="auto"/>
        <w:jc w:val="both"/>
        <w:rPr>
          <w:rFonts w:ascii="DecimaWE Rg" w:hAnsi="DecimaWE Rg"/>
          <w:i/>
          <w:sz w:val="16"/>
          <w:szCs w:val="16"/>
        </w:rPr>
      </w:pPr>
      <w:r w:rsidRPr="00234EB9">
        <w:rPr>
          <w:rFonts w:ascii="DecimaWE Rg" w:hAnsi="DecimaWE Rg"/>
          <w:i/>
          <w:sz w:val="16"/>
          <w:szCs w:val="16"/>
        </w:rPr>
        <w:t xml:space="preserve">Fonte: SIMIA </w:t>
      </w:r>
      <w:proofErr w:type="spellStart"/>
      <w:r>
        <w:rPr>
          <w:rFonts w:ascii="DecimaWE Rg" w:hAnsi="DecimaWE Rg"/>
          <w:i/>
          <w:sz w:val="16"/>
          <w:szCs w:val="16"/>
        </w:rPr>
        <w:t>rif.</w:t>
      </w:r>
      <w:proofErr w:type="spellEnd"/>
      <w:r>
        <w:rPr>
          <w:rFonts w:ascii="DecimaWE Rg" w:hAnsi="DecimaWE Rg"/>
          <w:i/>
          <w:sz w:val="16"/>
          <w:szCs w:val="16"/>
        </w:rPr>
        <w:t xml:space="preserve"> domande dal 01/01/2017 al 31</w:t>
      </w:r>
      <w:r w:rsidRPr="00234EB9">
        <w:rPr>
          <w:rFonts w:ascii="DecimaWE Rg" w:hAnsi="DecimaWE Rg"/>
          <w:i/>
          <w:sz w:val="16"/>
          <w:szCs w:val="16"/>
        </w:rPr>
        <w:t>/</w:t>
      </w:r>
      <w:r>
        <w:rPr>
          <w:rFonts w:ascii="DecimaWE Rg" w:hAnsi="DecimaWE Rg"/>
          <w:i/>
          <w:sz w:val="16"/>
          <w:szCs w:val="16"/>
        </w:rPr>
        <w:t>12/2017</w:t>
      </w:r>
      <w:r w:rsidRPr="00234EB9">
        <w:rPr>
          <w:rFonts w:ascii="DecimaWE Rg" w:hAnsi="DecimaWE Rg"/>
          <w:i/>
          <w:sz w:val="16"/>
          <w:szCs w:val="16"/>
        </w:rPr>
        <w:t xml:space="preserve"> </w:t>
      </w:r>
      <w:r>
        <w:rPr>
          <w:rFonts w:ascii="DecimaWE Rg" w:hAnsi="DecimaWE Rg"/>
          <w:i/>
          <w:sz w:val="16"/>
          <w:szCs w:val="16"/>
        </w:rPr>
        <w:t>estrazione dati al 21/05/2018</w:t>
      </w:r>
      <w:r w:rsidRPr="00234EB9">
        <w:rPr>
          <w:rFonts w:ascii="DecimaWE Rg" w:hAnsi="DecimaWE Rg"/>
          <w:i/>
          <w:sz w:val="16"/>
          <w:szCs w:val="16"/>
        </w:rPr>
        <w:t>.</w:t>
      </w:r>
    </w:p>
    <w:p w:rsidR="005A0221" w:rsidRDefault="005A0221" w:rsidP="005A0221">
      <w:pPr>
        <w:spacing w:after="120" w:line="240" w:lineRule="auto"/>
        <w:jc w:val="both"/>
        <w:rPr>
          <w:rFonts w:ascii="DecimaWE Rg" w:hAnsi="DecimaWE Rg"/>
          <w:i/>
          <w:sz w:val="20"/>
          <w:szCs w:val="20"/>
        </w:rPr>
      </w:pPr>
    </w:p>
    <w:p w:rsidR="005A0221" w:rsidRDefault="005A0221" w:rsidP="005A0221">
      <w:pPr>
        <w:spacing w:line="240" w:lineRule="auto"/>
        <w:jc w:val="both"/>
        <w:rPr>
          <w:rFonts w:ascii="DecimaWE Rg" w:hAnsi="DecimaWE Rg"/>
          <w:i/>
          <w:sz w:val="20"/>
          <w:szCs w:val="20"/>
        </w:rPr>
      </w:pPr>
    </w:p>
    <w:p w:rsidR="005A0221" w:rsidRDefault="005A0221" w:rsidP="005A0221">
      <w:pPr>
        <w:spacing w:line="240" w:lineRule="auto"/>
        <w:jc w:val="both"/>
        <w:rPr>
          <w:rFonts w:ascii="DecimaWE Rg" w:hAnsi="DecimaWE Rg"/>
          <w:i/>
          <w:sz w:val="20"/>
          <w:szCs w:val="20"/>
        </w:rPr>
      </w:pPr>
    </w:p>
    <w:p w:rsidR="005A0221" w:rsidRDefault="005A0221" w:rsidP="005A0221">
      <w:pPr>
        <w:spacing w:line="240" w:lineRule="auto"/>
        <w:jc w:val="both"/>
        <w:rPr>
          <w:rFonts w:ascii="DecimaWE Rg" w:hAnsi="DecimaWE Rg"/>
          <w:i/>
          <w:sz w:val="20"/>
          <w:szCs w:val="20"/>
        </w:rPr>
      </w:pPr>
    </w:p>
    <w:p w:rsidR="005A0221" w:rsidRDefault="005A0221" w:rsidP="005C09EC">
      <w:pPr>
        <w:spacing w:after="0"/>
        <w:jc w:val="both"/>
        <w:rPr>
          <w:rFonts w:ascii="DecimaWE Rg" w:hAnsi="DecimaWE Rg"/>
          <w:strike/>
        </w:rPr>
      </w:pPr>
    </w:p>
    <w:p w:rsidR="005A0221" w:rsidRDefault="005A0221" w:rsidP="005C09EC">
      <w:pPr>
        <w:spacing w:after="0"/>
        <w:jc w:val="both"/>
        <w:rPr>
          <w:rFonts w:ascii="DecimaWE Rg" w:hAnsi="DecimaWE Rg"/>
          <w:strike/>
        </w:rPr>
      </w:pPr>
    </w:p>
    <w:p w:rsidR="005A0221" w:rsidRDefault="005A0221" w:rsidP="005C09EC">
      <w:pPr>
        <w:spacing w:after="0"/>
        <w:jc w:val="both"/>
        <w:rPr>
          <w:rFonts w:ascii="DecimaWE Rg" w:hAnsi="DecimaWE Rg"/>
          <w:strike/>
        </w:rPr>
      </w:pPr>
    </w:p>
    <w:p w:rsidR="005A0221" w:rsidRDefault="005A0221" w:rsidP="005C09EC">
      <w:pPr>
        <w:spacing w:after="0"/>
        <w:jc w:val="both"/>
        <w:rPr>
          <w:rFonts w:ascii="DecimaWE Rg" w:hAnsi="DecimaWE Rg"/>
          <w:strike/>
        </w:rPr>
      </w:pPr>
    </w:p>
    <w:p w:rsidR="005A0221" w:rsidRDefault="005A0221" w:rsidP="005C09EC">
      <w:pPr>
        <w:spacing w:after="0"/>
        <w:jc w:val="both"/>
        <w:rPr>
          <w:rFonts w:ascii="DecimaWE Rg" w:hAnsi="DecimaWE Rg"/>
          <w:strike/>
        </w:rPr>
      </w:pPr>
    </w:p>
    <w:p w:rsidR="005A0221" w:rsidRDefault="005A0221" w:rsidP="005C09EC">
      <w:pPr>
        <w:spacing w:after="0"/>
        <w:jc w:val="both"/>
        <w:rPr>
          <w:rFonts w:ascii="DecimaWE Rg" w:hAnsi="DecimaWE Rg"/>
          <w:strike/>
        </w:rPr>
      </w:pPr>
    </w:p>
    <w:p w:rsidR="005A0221" w:rsidRDefault="005A0221" w:rsidP="005C09EC">
      <w:pPr>
        <w:spacing w:after="0"/>
        <w:jc w:val="both"/>
        <w:rPr>
          <w:rFonts w:ascii="DecimaWE Rg" w:hAnsi="DecimaWE Rg"/>
          <w:strike/>
        </w:rPr>
      </w:pPr>
    </w:p>
    <w:p w:rsidR="005A0221" w:rsidRDefault="005A0221" w:rsidP="005C09EC">
      <w:pPr>
        <w:spacing w:after="0"/>
        <w:jc w:val="both"/>
        <w:rPr>
          <w:rFonts w:ascii="DecimaWE Rg" w:hAnsi="DecimaWE Rg"/>
          <w:strike/>
        </w:rPr>
      </w:pPr>
    </w:p>
    <w:sectPr w:rsidR="005A0221" w:rsidSect="00DC1E55">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E0" w:rsidRDefault="00D842E0" w:rsidP="00FB2C90">
      <w:pPr>
        <w:spacing w:after="0" w:line="240" w:lineRule="auto"/>
      </w:pPr>
      <w:r>
        <w:separator/>
      </w:r>
    </w:p>
  </w:endnote>
  <w:endnote w:type="continuationSeparator" w:id="0">
    <w:p w:rsidR="00D842E0" w:rsidRDefault="00D842E0" w:rsidP="00FB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094442"/>
      <w:docPartObj>
        <w:docPartGallery w:val="Page Numbers (Bottom of Page)"/>
        <w:docPartUnique/>
      </w:docPartObj>
    </w:sdtPr>
    <w:sdtContent>
      <w:p w:rsidR="00DC1E55" w:rsidRDefault="00DC1E55">
        <w:pPr>
          <w:pStyle w:val="Pidipagina"/>
          <w:jc w:val="right"/>
        </w:pPr>
        <w:r>
          <w:fldChar w:fldCharType="begin"/>
        </w:r>
        <w:r>
          <w:instrText>PAGE   \* MERGEFORMAT</w:instrText>
        </w:r>
        <w:r>
          <w:fldChar w:fldCharType="separate"/>
        </w:r>
        <w:r w:rsidR="001E5DBB">
          <w:rPr>
            <w:noProof/>
          </w:rPr>
          <w:t>17</w:t>
        </w:r>
        <w:r>
          <w:fldChar w:fldCharType="end"/>
        </w:r>
      </w:p>
    </w:sdtContent>
  </w:sdt>
  <w:p w:rsidR="00DC1E55" w:rsidRDefault="00DC1E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E0" w:rsidRDefault="00D842E0" w:rsidP="00FB2C90">
      <w:pPr>
        <w:spacing w:after="0" w:line="240" w:lineRule="auto"/>
      </w:pPr>
      <w:r>
        <w:separator/>
      </w:r>
    </w:p>
  </w:footnote>
  <w:footnote w:type="continuationSeparator" w:id="0">
    <w:p w:rsidR="00D842E0" w:rsidRDefault="00D842E0" w:rsidP="00FB2C90">
      <w:pPr>
        <w:spacing w:after="0" w:line="240" w:lineRule="auto"/>
      </w:pPr>
      <w:r>
        <w:continuationSeparator/>
      </w:r>
    </w:p>
  </w:footnote>
  <w:footnote w:id="1">
    <w:p w:rsidR="004B2DA8" w:rsidRDefault="004B2DA8" w:rsidP="00063407">
      <w:pPr>
        <w:pStyle w:val="Testonotaapidipagina"/>
        <w:jc w:val="both"/>
      </w:pPr>
      <w:r w:rsidRPr="00A70507">
        <w:rPr>
          <w:rStyle w:val="Rimandonotaapidipagina"/>
          <w:rFonts w:ascii="DecimaWE Rg" w:hAnsi="DecimaWE Rg"/>
          <w:sz w:val="18"/>
          <w:szCs w:val="18"/>
        </w:rPr>
        <w:footnoteRef/>
      </w:r>
      <w:r w:rsidRPr="00A70507">
        <w:rPr>
          <w:rFonts w:ascii="DecimaWE Rg" w:hAnsi="DecimaWE Rg"/>
          <w:sz w:val="18"/>
          <w:szCs w:val="18"/>
        </w:rPr>
        <w:t xml:space="preserve"> Per gli ulteriori requisiti e condizioni di accesso si veda l’art.</w:t>
      </w:r>
      <w:r>
        <w:rPr>
          <w:rFonts w:ascii="DecimaWE Rg" w:hAnsi="DecimaWE Rg"/>
          <w:sz w:val="18"/>
          <w:szCs w:val="18"/>
        </w:rPr>
        <w:t xml:space="preserve"> </w:t>
      </w:r>
      <w:r w:rsidRPr="00A70507">
        <w:rPr>
          <w:rFonts w:ascii="DecimaWE Rg" w:hAnsi="DecimaWE Rg"/>
          <w:sz w:val="18"/>
          <w:szCs w:val="18"/>
        </w:rPr>
        <w:t xml:space="preserve">3 della L.R. 15/2015 e </w:t>
      </w:r>
      <w:r>
        <w:rPr>
          <w:rFonts w:ascii="DecimaWE Rg" w:hAnsi="DecimaWE Rg"/>
          <w:sz w:val="18"/>
          <w:szCs w:val="18"/>
        </w:rPr>
        <w:t xml:space="preserve">art. del regolamento </w:t>
      </w:r>
      <w:proofErr w:type="spellStart"/>
      <w:r>
        <w:rPr>
          <w:rFonts w:ascii="DecimaWE Rg" w:hAnsi="DecimaWE Rg"/>
          <w:sz w:val="18"/>
          <w:szCs w:val="18"/>
        </w:rPr>
        <w:t>D.P.Reg</w:t>
      </w:r>
      <w:proofErr w:type="spellEnd"/>
      <w:r>
        <w:rPr>
          <w:rFonts w:ascii="DecimaWE Rg" w:hAnsi="DecimaWE Rg"/>
          <w:sz w:val="18"/>
          <w:szCs w:val="18"/>
        </w:rPr>
        <w:t>. 216/2015</w:t>
      </w:r>
      <w:r w:rsidRPr="00A70507">
        <w:rPr>
          <w:rFonts w:ascii="DecimaWE Rg" w:hAnsi="DecimaWE Rg"/>
          <w:sz w:val="18"/>
          <w:szCs w:val="18"/>
        </w:rPr>
        <w:t>.</w:t>
      </w:r>
    </w:p>
  </w:footnote>
  <w:footnote w:id="2">
    <w:p w:rsidR="004B2DA8" w:rsidRDefault="004B2DA8" w:rsidP="00063407">
      <w:pPr>
        <w:pStyle w:val="Testonotaapidipagina"/>
        <w:jc w:val="both"/>
      </w:pPr>
      <w:r w:rsidRPr="00063407">
        <w:rPr>
          <w:rStyle w:val="Rimandonotaapidipagina"/>
          <w:rFonts w:ascii="DecimaWE Rg" w:hAnsi="DecimaWE Rg"/>
          <w:sz w:val="18"/>
          <w:szCs w:val="18"/>
        </w:rPr>
        <w:footnoteRef/>
      </w:r>
      <w:r w:rsidRPr="00063407">
        <w:rPr>
          <w:rFonts w:ascii="DecimaWE Rg" w:hAnsi="DecimaWE Rg"/>
          <w:sz w:val="18"/>
          <w:szCs w:val="18"/>
        </w:rPr>
        <w:t xml:space="preserve"> Le regole di coordinamento fra il SIA e la MIA prevedono che ai nuclei beneficiari di entrambe le misure spettino gli importi previsti per la MIA, ma con sottrazione degli importi percepiti a titolo di SIA. Per queste casistiche pertanto la MIA si configura come un’integrazione regionale al SIA</w:t>
      </w:r>
      <w:r w:rsidRPr="00063407">
        <w:t>.</w:t>
      </w:r>
    </w:p>
  </w:footnote>
  <w:footnote w:id="3">
    <w:p w:rsidR="004B2DA8" w:rsidRDefault="004B2DA8" w:rsidP="00B151F0">
      <w:pPr>
        <w:pStyle w:val="Testonotaapidipagina"/>
        <w:jc w:val="both"/>
      </w:pPr>
      <w:r w:rsidRPr="00A70507">
        <w:rPr>
          <w:rStyle w:val="Rimandonotaapidipagina"/>
          <w:rFonts w:ascii="DecimaWE Rg" w:hAnsi="DecimaWE Rg"/>
          <w:sz w:val="18"/>
          <w:szCs w:val="18"/>
        </w:rPr>
        <w:footnoteRef/>
      </w:r>
      <w:r w:rsidRPr="00A70507">
        <w:rPr>
          <w:rFonts w:ascii="DecimaWE Rg" w:hAnsi="DecimaWE Rg"/>
          <w:sz w:val="18"/>
          <w:szCs w:val="18"/>
        </w:rPr>
        <w:t xml:space="preserve"> Si veda il primo monitoraggio allegato alla Generalità n.</w:t>
      </w:r>
      <w:r>
        <w:rPr>
          <w:rFonts w:ascii="DecimaWE Rg" w:hAnsi="DecimaWE Rg"/>
          <w:sz w:val="18"/>
          <w:szCs w:val="18"/>
        </w:rPr>
        <w:t xml:space="preserve"> </w:t>
      </w:r>
      <w:r w:rsidRPr="00A70507">
        <w:rPr>
          <w:rFonts w:ascii="DecimaWE Rg" w:hAnsi="DecimaWE Rg"/>
          <w:sz w:val="18"/>
          <w:szCs w:val="18"/>
        </w:rPr>
        <w:t>622 del 31/03/2017 e relativo alle domande presentate dal 22/10/2015 al 01/09/2016, ovvero fino all’entrata in vigore della misura nazionale SIA e il successivo aggiornamento per le domande fino al 31/12/2016.</w:t>
      </w:r>
    </w:p>
  </w:footnote>
  <w:footnote w:id="4">
    <w:p w:rsidR="004B2DA8" w:rsidRDefault="004B2DA8" w:rsidP="005B720B">
      <w:pPr>
        <w:pStyle w:val="Testonotaapidipagina"/>
        <w:jc w:val="both"/>
      </w:pPr>
      <w:r w:rsidRPr="00172F4A">
        <w:rPr>
          <w:rStyle w:val="Rimandonotaapidipagina"/>
          <w:rFonts w:ascii="DecimaWE Rg" w:hAnsi="DecimaWE Rg"/>
          <w:sz w:val="18"/>
          <w:szCs w:val="18"/>
        </w:rPr>
        <w:footnoteRef/>
      </w:r>
      <w:r w:rsidRPr="00172F4A">
        <w:rPr>
          <w:rFonts w:ascii="DecimaWE Rg" w:hAnsi="DecimaWE Rg"/>
          <w:sz w:val="18"/>
          <w:szCs w:val="18"/>
        </w:rPr>
        <w:t xml:space="preserve"> SIMIA (Sistema Informativo Misura Inclusione Attiva) è il sistema di inserimento e gestione amministrativa delle domande MIA e SIA in uso presso tutti i SSC.</w:t>
      </w:r>
    </w:p>
  </w:footnote>
  <w:footnote w:id="5">
    <w:p w:rsidR="004B2DA8" w:rsidRDefault="004B2DA8" w:rsidP="005B720B">
      <w:pPr>
        <w:pStyle w:val="Testonotaapidipagina"/>
        <w:jc w:val="both"/>
      </w:pPr>
      <w:r w:rsidRPr="00172F4A">
        <w:rPr>
          <w:rStyle w:val="Rimandonotaapidipagina"/>
          <w:rFonts w:ascii="DecimaWE Rg" w:hAnsi="DecimaWE Rg"/>
          <w:sz w:val="18"/>
          <w:szCs w:val="18"/>
        </w:rPr>
        <w:footnoteRef/>
      </w:r>
      <w:r w:rsidRPr="00172F4A">
        <w:rPr>
          <w:rFonts w:ascii="DecimaWE Rg" w:hAnsi="DecimaWE Rg"/>
          <w:sz w:val="18"/>
          <w:szCs w:val="18"/>
        </w:rPr>
        <w:t xml:space="preserve"> SIMIA CRM (Sistema Informativo Misura Inclusione Attiva - </w:t>
      </w:r>
      <w:proofErr w:type="spellStart"/>
      <w:r w:rsidRPr="00172F4A">
        <w:rPr>
          <w:rFonts w:ascii="DecimaWE Rg" w:hAnsi="DecimaWE Rg"/>
          <w:i/>
          <w:sz w:val="18"/>
          <w:szCs w:val="18"/>
        </w:rPr>
        <w:t>Costumer</w:t>
      </w:r>
      <w:proofErr w:type="spellEnd"/>
      <w:r w:rsidRPr="00172F4A">
        <w:rPr>
          <w:rFonts w:ascii="DecimaWE Rg" w:hAnsi="DecimaWE Rg"/>
          <w:i/>
          <w:sz w:val="18"/>
          <w:szCs w:val="18"/>
        </w:rPr>
        <w:t xml:space="preserve"> </w:t>
      </w:r>
      <w:proofErr w:type="spellStart"/>
      <w:r w:rsidRPr="00172F4A">
        <w:rPr>
          <w:rFonts w:ascii="DecimaWE Rg" w:hAnsi="DecimaWE Rg"/>
          <w:i/>
          <w:sz w:val="18"/>
          <w:szCs w:val="18"/>
        </w:rPr>
        <w:t>Relationship</w:t>
      </w:r>
      <w:proofErr w:type="spellEnd"/>
      <w:r w:rsidRPr="00172F4A">
        <w:rPr>
          <w:rFonts w:ascii="DecimaWE Rg" w:hAnsi="DecimaWE Rg"/>
          <w:i/>
          <w:sz w:val="18"/>
          <w:szCs w:val="18"/>
        </w:rPr>
        <w:t xml:space="preserve"> Management</w:t>
      </w:r>
      <w:r w:rsidRPr="00172F4A">
        <w:rPr>
          <w:rFonts w:ascii="DecimaWE Rg" w:hAnsi="DecimaWE Rg"/>
          <w:sz w:val="18"/>
          <w:szCs w:val="18"/>
        </w:rPr>
        <w:t xml:space="preserve">) Piattaforma Microsoft collegata al sistema informativo amministrativo (SIMIA) e utilizzata come interfaccia per la somministrazione delle schede di valutazione ITO e per la stesura e predisposizione del Patto di Inclusione. E’ interfaccia comune per gli operatori dei SSC e dei CPI. </w:t>
      </w:r>
    </w:p>
  </w:footnote>
  <w:footnote w:id="6">
    <w:p w:rsidR="004B2DA8" w:rsidRDefault="004B2DA8">
      <w:pPr>
        <w:pStyle w:val="Testonotaapidipagina"/>
      </w:pPr>
      <w:r w:rsidRPr="00172F4A">
        <w:rPr>
          <w:rStyle w:val="Rimandonotaapidipagina"/>
          <w:rFonts w:ascii="DecimaWE Rg" w:hAnsi="DecimaWE Rg"/>
          <w:sz w:val="18"/>
          <w:szCs w:val="18"/>
        </w:rPr>
        <w:footnoteRef/>
      </w:r>
      <w:r w:rsidRPr="00172F4A">
        <w:rPr>
          <w:rFonts w:ascii="DecimaWE Rg" w:hAnsi="DecimaWE Rg"/>
          <w:sz w:val="18"/>
          <w:szCs w:val="18"/>
        </w:rPr>
        <w:t xml:space="preserve"> Domande etichettate in data base SIMIA come “rinnovo”.</w:t>
      </w:r>
    </w:p>
  </w:footnote>
  <w:footnote w:id="7">
    <w:p w:rsidR="004B2DA8" w:rsidRDefault="004B2DA8">
      <w:pPr>
        <w:pStyle w:val="Testonotaapidipagina"/>
      </w:pPr>
      <w:r>
        <w:rPr>
          <w:rStyle w:val="Rimandonotaapidipagina"/>
        </w:rPr>
        <w:footnoteRef/>
      </w:r>
      <w:r>
        <w:t xml:space="preserve"> </w:t>
      </w:r>
      <w:r>
        <w:rPr>
          <w:rFonts w:ascii="DecimaWE Rg" w:hAnsi="DecimaWE Rg"/>
          <w:sz w:val="18"/>
          <w:szCs w:val="18"/>
        </w:rPr>
        <w:t xml:space="preserve">Cui si aggiungono </w:t>
      </w:r>
      <w:r w:rsidR="00F03EB3">
        <w:rPr>
          <w:rFonts w:ascii="DecimaWE Rg" w:hAnsi="DecimaWE Rg"/>
          <w:sz w:val="18"/>
          <w:szCs w:val="18"/>
        </w:rPr>
        <w:t>90 domande di sola SIA</w:t>
      </w:r>
      <w:r>
        <w:rPr>
          <w:rFonts w:ascii="DecimaWE Rg" w:hAnsi="DecimaWE Rg"/>
          <w:sz w:val="18"/>
          <w:szCs w:val="18"/>
        </w:rPr>
        <w:t>.</w:t>
      </w:r>
    </w:p>
  </w:footnote>
  <w:footnote w:id="8">
    <w:p w:rsidR="004B2DA8" w:rsidRDefault="004B2DA8">
      <w:pPr>
        <w:pStyle w:val="Testonotaapidipagina"/>
      </w:pPr>
      <w:r>
        <w:rPr>
          <w:rStyle w:val="Rimandonotaapidipagina"/>
        </w:rPr>
        <w:footnoteRef/>
      </w:r>
      <w:r>
        <w:t xml:space="preserve"> </w:t>
      </w:r>
      <w:r>
        <w:rPr>
          <w:rFonts w:ascii="DecimaWE Rg" w:hAnsi="DecimaWE Rg"/>
          <w:sz w:val="18"/>
          <w:szCs w:val="18"/>
        </w:rPr>
        <w:t>Cui si aggiungono 10 domande di REI senza riconoscimento delle integrazioni regionali.</w:t>
      </w:r>
    </w:p>
  </w:footnote>
  <w:footnote w:id="9">
    <w:p w:rsidR="004B2DA8" w:rsidRDefault="004B2DA8" w:rsidP="00481869">
      <w:pPr>
        <w:pStyle w:val="Testonotaapidipagina"/>
        <w:jc w:val="both"/>
      </w:pPr>
      <w:r w:rsidRPr="00681FA8">
        <w:rPr>
          <w:rStyle w:val="Rimandonotaapidipagina"/>
          <w:rFonts w:ascii="DecimaWE Rg" w:hAnsi="DecimaWE Rg"/>
          <w:sz w:val="18"/>
          <w:szCs w:val="18"/>
        </w:rPr>
        <w:footnoteRef/>
      </w:r>
      <w:r w:rsidRPr="00681FA8">
        <w:rPr>
          <w:rFonts w:ascii="DecimaWE Rg" w:hAnsi="DecimaWE Rg"/>
          <w:sz w:val="18"/>
          <w:szCs w:val="18"/>
        </w:rPr>
        <w:t xml:space="preserve"> Il numero di nuclei beneficiari risulta inferiore rispetto a quello delle domande pagate in quanto per alcuni nuclei risultano registrate a sistema più domande nel periodo considerato, conseguentemente a decadenze e successive ripresentazioni della domanda.</w:t>
      </w:r>
    </w:p>
  </w:footnote>
  <w:footnote w:id="10">
    <w:p w:rsidR="004B2DA8" w:rsidRDefault="004B2DA8" w:rsidP="00481869">
      <w:pPr>
        <w:pStyle w:val="Testonotaapidipagina"/>
        <w:jc w:val="both"/>
      </w:pPr>
      <w:r w:rsidRPr="00481869">
        <w:rPr>
          <w:rStyle w:val="Rimandonotaapidipagina"/>
          <w:rFonts w:ascii="DecimaWE Rg" w:hAnsi="DecimaWE Rg"/>
          <w:sz w:val="18"/>
          <w:szCs w:val="18"/>
        </w:rPr>
        <w:footnoteRef/>
      </w:r>
      <w:r w:rsidRPr="00481869">
        <w:rPr>
          <w:rFonts w:ascii="DecimaWE Rg" w:hAnsi="DecimaWE Rg"/>
          <w:sz w:val="18"/>
          <w:szCs w:val="18"/>
        </w:rPr>
        <w:t xml:space="preserve"> Si intendono beneficiari i nuclei per i quali risulta registrato a sistema SIMIA almeno un pagamento riferito alla misura monitorata. </w:t>
      </w:r>
    </w:p>
  </w:footnote>
  <w:footnote w:id="11">
    <w:p w:rsidR="004B2DA8" w:rsidRDefault="004B2DA8" w:rsidP="00481869">
      <w:pPr>
        <w:pStyle w:val="Testonotaapidipagina"/>
        <w:jc w:val="both"/>
      </w:pPr>
      <w:r w:rsidRPr="008B65BC">
        <w:rPr>
          <w:rStyle w:val="Rimandonotaapidipagina"/>
          <w:rFonts w:ascii="DecimaWE Rg" w:hAnsi="DecimaWE Rg"/>
          <w:sz w:val="18"/>
          <w:szCs w:val="18"/>
        </w:rPr>
        <w:footnoteRef/>
      </w:r>
      <w:r w:rsidRPr="008B65BC">
        <w:rPr>
          <w:rFonts w:ascii="DecimaWE Rg" w:hAnsi="DecimaWE Rg"/>
          <w:sz w:val="18"/>
          <w:szCs w:val="18"/>
        </w:rPr>
        <w:t xml:space="preserve"> Un ulteriore aggiornamento dei dati effettuato ad agosto 2018, evidenzia la presenza di ulteriori 600 domande pagate i cui esiti non risultavano ancora disponibili alla data del presente monitoraggio: le informazioni relative a questi nuclei beneficiari verranno pertanto riprese e descritte nella prossima relazione di monitoraggio.</w:t>
      </w:r>
    </w:p>
  </w:footnote>
  <w:footnote w:id="12">
    <w:p w:rsidR="004B2DA8" w:rsidRDefault="004B2DA8" w:rsidP="00DF219C">
      <w:pPr>
        <w:pStyle w:val="Testonotaapidipagina"/>
        <w:jc w:val="both"/>
      </w:pPr>
      <w:r w:rsidRPr="00084273">
        <w:rPr>
          <w:rStyle w:val="Rimandonotaapidipagina"/>
          <w:rFonts w:ascii="DecimaWE Rg" w:hAnsi="DecimaWE Rg"/>
          <w:sz w:val="18"/>
          <w:szCs w:val="18"/>
        </w:rPr>
        <w:footnoteRef/>
      </w:r>
      <w:r w:rsidRPr="00084273">
        <w:rPr>
          <w:rFonts w:ascii="DecimaWE Rg" w:hAnsi="DecimaWE Rg"/>
          <w:sz w:val="18"/>
          <w:szCs w:val="18"/>
        </w:rPr>
        <w:t xml:space="preserve"> I fondi trasferiti ai SSC nel corso del 2016 si sono attestati a euro 47.945.030 e tengono conto anche delle erogazioni relative al sesto bimestre 2015 che in sede di prima applicazione della MIA sono state maturate nel 2015 ma erogate nel 2016. Gli importi effettivamente erogati ai beneficiari nell’anno solare 2016 (computati secondo principio di cassa) si sono attestati invece a euro 42.772.948,17. </w:t>
      </w:r>
      <w:r w:rsidR="00C45B97" w:rsidRPr="00084273">
        <w:rPr>
          <w:rFonts w:ascii="DecimaWE Rg" w:hAnsi="DecimaWE Rg"/>
          <w:sz w:val="18"/>
          <w:szCs w:val="18"/>
        </w:rPr>
        <w:t xml:space="preserve">I fondi residui di competenza 2016 sono stati utilizzati </w:t>
      </w:r>
      <w:r w:rsidR="00C92994" w:rsidRPr="00084273">
        <w:rPr>
          <w:rFonts w:ascii="DecimaWE Rg" w:hAnsi="DecimaWE Rg"/>
          <w:sz w:val="18"/>
          <w:szCs w:val="18"/>
        </w:rPr>
        <w:t xml:space="preserve">anche </w:t>
      </w:r>
      <w:r w:rsidR="00C45B97" w:rsidRPr="00084273">
        <w:rPr>
          <w:rFonts w:ascii="DecimaWE Rg" w:hAnsi="DecimaWE Rg"/>
          <w:sz w:val="18"/>
          <w:szCs w:val="18"/>
        </w:rPr>
        <w:t>per erogazioni di competenza 2017.</w:t>
      </w:r>
    </w:p>
  </w:footnote>
  <w:footnote w:id="13">
    <w:p w:rsidR="004B2DA8" w:rsidRDefault="004B2DA8" w:rsidP="00DF219C">
      <w:pPr>
        <w:pStyle w:val="Testonotaapidipagina"/>
        <w:jc w:val="both"/>
      </w:pPr>
      <w:r w:rsidRPr="008C77B8">
        <w:rPr>
          <w:rStyle w:val="Rimandonotaapidipagina"/>
          <w:rFonts w:ascii="DecimaWE Rg" w:hAnsi="DecimaWE Rg"/>
          <w:sz w:val="18"/>
          <w:szCs w:val="18"/>
        </w:rPr>
        <w:footnoteRef/>
      </w:r>
      <w:r w:rsidRPr="008C77B8">
        <w:rPr>
          <w:rFonts w:ascii="DecimaWE Rg" w:hAnsi="DecimaWE Rg"/>
          <w:sz w:val="18"/>
          <w:szCs w:val="18"/>
        </w:rPr>
        <w:t xml:space="preserve"> Le regole di coordinamento fra il SIA e la MIA prevedono che ai nuclei beneficiari di entrambe le misure</w:t>
      </w:r>
      <w:r w:rsidR="00A07544">
        <w:rPr>
          <w:rFonts w:ascii="DecimaWE Rg" w:hAnsi="DecimaWE Rg"/>
          <w:sz w:val="18"/>
          <w:szCs w:val="18"/>
        </w:rPr>
        <w:t xml:space="preserve"> spetta</w:t>
      </w:r>
      <w:r w:rsidRPr="008C77B8">
        <w:rPr>
          <w:rFonts w:ascii="DecimaWE Rg" w:hAnsi="DecimaWE Rg"/>
          <w:sz w:val="18"/>
          <w:szCs w:val="18"/>
        </w:rPr>
        <w:t>no gli importi previsti per la MIA, ma con sottrazione degli importi percepiti a titolo di SIA. Per queste casistiche pertanto la MIA si configura come un’integrazione regionale al SIA.</w:t>
      </w:r>
    </w:p>
  </w:footnote>
  <w:footnote w:id="14">
    <w:p w:rsidR="004B2DA8" w:rsidRDefault="004B2DA8">
      <w:pPr>
        <w:pStyle w:val="Testonotaapidipagina"/>
      </w:pPr>
      <w:r w:rsidRPr="0086280E">
        <w:rPr>
          <w:rStyle w:val="Rimandonotaapidipagina"/>
          <w:rFonts w:ascii="DecimaWE Rg" w:hAnsi="DecimaWE Rg"/>
          <w:sz w:val="18"/>
          <w:szCs w:val="18"/>
        </w:rPr>
        <w:footnoteRef/>
      </w:r>
      <w:r w:rsidRPr="0086280E">
        <w:rPr>
          <w:rFonts w:ascii="DecimaWE Rg" w:hAnsi="DecimaWE Rg"/>
          <w:sz w:val="18"/>
          <w:szCs w:val="18"/>
        </w:rPr>
        <w:t xml:space="preserve"> Per le famiglie residenti in regione FVG (totale 561.115): Istat, Bilancio demografico 2016.</w:t>
      </w:r>
    </w:p>
  </w:footnote>
  <w:footnote w:id="15">
    <w:p w:rsidR="004B2DA8" w:rsidRDefault="004B2DA8" w:rsidP="00982A78">
      <w:pPr>
        <w:pStyle w:val="Testonotaapidipagina"/>
        <w:jc w:val="both"/>
      </w:pPr>
      <w:r w:rsidRPr="0038465E">
        <w:rPr>
          <w:rStyle w:val="Rimandonotaapidipagina"/>
        </w:rPr>
        <w:footnoteRef/>
      </w:r>
      <w:r w:rsidRPr="0038465E">
        <w:t xml:space="preserve"> </w:t>
      </w:r>
      <w:r w:rsidRPr="0038465E">
        <w:rPr>
          <w:rFonts w:ascii="DecimaWE Rg" w:hAnsi="DecimaWE Rg"/>
          <w:sz w:val="18"/>
          <w:szCs w:val="18"/>
        </w:rPr>
        <w:t>Poiché alla data di rilevazione non risultava ancora perfezionata la registrazione dei pagamenti effettuati in relazione al bimestre novembre dicembre 2017, i beneficiari che hanno avuto il primo accesso alla misura in tale bimestre non sono stati monitorati nel presente report e verranno monitorati nel successivo.</w:t>
      </w:r>
    </w:p>
  </w:footnote>
  <w:footnote w:id="16">
    <w:p w:rsidR="004B2DA8" w:rsidRDefault="004B2DA8" w:rsidP="002E07EE">
      <w:pPr>
        <w:pStyle w:val="Testonotaapidipagina"/>
      </w:pPr>
      <w:r w:rsidRPr="002E07EE">
        <w:rPr>
          <w:rStyle w:val="Rimandonotaapidipagina"/>
          <w:rFonts w:ascii="DecimaWE Rg" w:hAnsi="DecimaWE Rg"/>
          <w:sz w:val="18"/>
          <w:szCs w:val="18"/>
        </w:rPr>
        <w:footnoteRef/>
      </w:r>
      <w:r>
        <w:rPr>
          <w:rFonts w:ascii="DecimaWE Rg" w:hAnsi="DecimaWE Rg"/>
          <w:sz w:val="18"/>
          <w:szCs w:val="18"/>
        </w:rPr>
        <w:t xml:space="preserve"> Fonte I</w:t>
      </w:r>
      <w:r w:rsidRPr="00A70507">
        <w:rPr>
          <w:rFonts w:ascii="DecimaWE Rg" w:hAnsi="DecimaWE Rg"/>
          <w:sz w:val="18"/>
          <w:szCs w:val="18"/>
        </w:rPr>
        <w:t>stat: Bilancio demografico 2016.</w:t>
      </w:r>
    </w:p>
  </w:footnote>
  <w:footnote w:id="17">
    <w:p w:rsidR="004B2DA8" w:rsidRDefault="004B2DA8">
      <w:pPr>
        <w:pStyle w:val="Testonotaapidipagina"/>
      </w:pPr>
      <w:r w:rsidRPr="003E3F67">
        <w:rPr>
          <w:rStyle w:val="Rimandonotaapidipagina"/>
          <w:rFonts w:ascii="DecimaWE Rg" w:hAnsi="DecimaWE Rg"/>
          <w:sz w:val="18"/>
          <w:szCs w:val="18"/>
        </w:rPr>
        <w:footnoteRef/>
      </w:r>
      <w:r w:rsidRPr="003E3F67">
        <w:rPr>
          <w:rFonts w:ascii="DecimaWE Rg" w:hAnsi="DecimaWE Rg"/>
          <w:sz w:val="18"/>
          <w:szCs w:val="18"/>
        </w:rPr>
        <w:t xml:space="preserve"> Cfr. Istat, La povertà in Italia, Anno 2016; Statistiche Report.</w:t>
      </w:r>
    </w:p>
  </w:footnote>
  <w:footnote w:id="18">
    <w:p w:rsidR="004B2DA8" w:rsidRDefault="004B2DA8" w:rsidP="0072680F">
      <w:pPr>
        <w:pStyle w:val="Testonotaapidipagina"/>
        <w:jc w:val="both"/>
      </w:pPr>
      <w:r w:rsidRPr="003E3F67">
        <w:rPr>
          <w:rStyle w:val="Rimandonotaapidipagina"/>
          <w:rFonts w:ascii="DecimaWE Rg" w:hAnsi="DecimaWE Rg"/>
          <w:sz w:val="18"/>
          <w:szCs w:val="18"/>
        </w:rPr>
        <w:footnoteRef/>
      </w:r>
      <w:r w:rsidRPr="003E3F67">
        <w:rPr>
          <w:rFonts w:ascii="DecimaWE Rg" w:hAnsi="DecimaWE Rg"/>
          <w:sz w:val="18"/>
          <w:szCs w:val="18"/>
        </w:rPr>
        <w:t xml:space="preserve"> Così come certificata e indicata all’interno della DSU – Dichiarazione sostitutiva unica ai fini ISEE.</w:t>
      </w:r>
    </w:p>
  </w:footnote>
  <w:footnote w:id="19">
    <w:p w:rsidR="004B2DA8" w:rsidRDefault="004B2DA8" w:rsidP="00344A13">
      <w:pPr>
        <w:pStyle w:val="Testonotaapidipagina"/>
        <w:jc w:val="both"/>
      </w:pPr>
      <w:r w:rsidRPr="003E3F67">
        <w:rPr>
          <w:rStyle w:val="Rimandonotaapidipagina"/>
          <w:rFonts w:ascii="DecimaWE Rg" w:hAnsi="DecimaWE Rg"/>
          <w:sz w:val="18"/>
          <w:szCs w:val="18"/>
        </w:rPr>
        <w:footnoteRef/>
      </w:r>
      <w:r w:rsidRPr="003E3F67">
        <w:rPr>
          <w:rFonts w:ascii="DecimaWE Rg" w:hAnsi="DecimaWE Rg"/>
          <w:sz w:val="18"/>
          <w:szCs w:val="18"/>
        </w:rPr>
        <w:t xml:space="preserve"> Cosi come dichiarata al momento della </w:t>
      </w:r>
      <w:r w:rsidRPr="007F4789">
        <w:rPr>
          <w:rFonts w:ascii="DecimaWE Rg" w:hAnsi="DecimaWE Rg"/>
          <w:sz w:val="18"/>
          <w:szCs w:val="18"/>
        </w:rPr>
        <w:t>presentazione della DSU - Dichiarazione sostitutiva unica ai fini ISEE</w:t>
      </w:r>
      <w:r>
        <w:rPr>
          <w:rFonts w:ascii="DecimaWE Rg" w:hAnsi="DecimaWE Rg"/>
          <w:sz w:val="18"/>
          <w:szCs w:val="18"/>
        </w:rPr>
        <w:t xml:space="preserve"> (</w:t>
      </w:r>
      <w:r w:rsidRPr="007F4789">
        <w:rPr>
          <w:rFonts w:ascii="DecimaWE Rg" w:hAnsi="DecimaWE Rg"/>
          <w:sz w:val="18"/>
          <w:szCs w:val="18"/>
        </w:rPr>
        <w:t xml:space="preserve">antecedente al momento </w:t>
      </w:r>
      <w:r>
        <w:rPr>
          <w:rFonts w:ascii="DecimaWE Rg" w:hAnsi="DecimaWE Rg"/>
          <w:sz w:val="18"/>
          <w:szCs w:val="18"/>
        </w:rPr>
        <w:t>di presentazione della domanda;</w:t>
      </w:r>
      <w:r w:rsidRPr="007F4789">
        <w:rPr>
          <w:rFonts w:ascii="DecimaWE Rg" w:hAnsi="DecimaWE Rg"/>
          <w:sz w:val="18"/>
          <w:szCs w:val="18"/>
        </w:rPr>
        <w:t xml:space="preserve"> può pertanto</w:t>
      </w:r>
      <w:r>
        <w:rPr>
          <w:rFonts w:ascii="DecimaWE Rg" w:hAnsi="DecimaWE Rg"/>
          <w:sz w:val="18"/>
          <w:szCs w:val="18"/>
        </w:rPr>
        <w:t xml:space="preserve"> risultare difforme dalla </w:t>
      </w:r>
      <w:r w:rsidRPr="007F4789">
        <w:rPr>
          <w:rFonts w:ascii="DecimaWE Rg" w:hAnsi="DecimaWE Rg"/>
          <w:sz w:val="18"/>
          <w:szCs w:val="18"/>
        </w:rPr>
        <w:t>condizione</w:t>
      </w:r>
      <w:r>
        <w:rPr>
          <w:rFonts w:ascii="DecimaWE Rg" w:hAnsi="DecimaWE Rg"/>
          <w:sz w:val="18"/>
          <w:szCs w:val="18"/>
        </w:rPr>
        <w:t xml:space="preserve"> effettiva</w:t>
      </w:r>
      <w:r w:rsidRPr="007F4789">
        <w:rPr>
          <w:rFonts w:ascii="DecimaWE Rg" w:hAnsi="DecimaWE Rg"/>
          <w:sz w:val="18"/>
          <w:szCs w:val="18"/>
        </w:rPr>
        <w:t xml:space="preserve"> nel periodo di fruizione del beneficio).</w:t>
      </w:r>
    </w:p>
  </w:footnote>
  <w:footnote w:id="20">
    <w:p w:rsidR="004B2DA8" w:rsidRDefault="004B2DA8" w:rsidP="00F13C9C">
      <w:pPr>
        <w:pStyle w:val="Testonotaapidipagina"/>
        <w:jc w:val="both"/>
      </w:pPr>
      <w:r>
        <w:rPr>
          <w:rStyle w:val="Rimandonotaapidipagina"/>
        </w:rPr>
        <w:footnoteRef/>
      </w:r>
      <w:r>
        <w:t xml:space="preserve"> </w:t>
      </w:r>
      <w:r w:rsidRPr="00F13C9C">
        <w:rPr>
          <w:rFonts w:ascii="DecimaWE Rg" w:hAnsi="DecimaWE Rg"/>
          <w:sz w:val="18"/>
          <w:szCs w:val="18"/>
        </w:rPr>
        <w:t xml:space="preserve">Nella precedente relazione di monitoraggio riferita al periodo 2015/2016 la distribuzione per condizione professionale era riferita al totale dei componenti (non solo a quelli in età attiva) con un focus sui componenti che avevano presentato domanda di MIA (Richiedenti). </w:t>
      </w:r>
    </w:p>
  </w:footnote>
  <w:footnote w:id="21">
    <w:p w:rsidR="004B2DA8" w:rsidRDefault="004B2DA8" w:rsidP="005737A1">
      <w:pPr>
        <w:pStyle w:val="Testonotaapidipagina"/>
        <w:jc w:val="both"/>
      </w:pPr>
      <w:r w:rsidRPr="003E3F67">
        <w:rPr>
          <w:rStyle w:val="Rimandonotaapidipagina"/>
          <w:rFonts w:ascii="DecimaWE Rg" w:hAnsi="DecimaWE Rg"/>
          <w:sz w:val="18"/>
          <w:szCs w:val="18"/>
        </w:rPr>
        <w:footnoteRef/>
      </w:r>
      <w:r w:rsidRPr="003E3F67">
        <w:rPr>
          <w:rFonts w:ascii="DecimaWE Rg" w:hAnsi="DecimaWE Rg"/>
          <w:sz w:val="18"/>
          <w:szCs w:val="18"/>
        </w:rPr>
        <w:t xml:space="preserve"> ITO Indicatore Teorico di </w:t>
      </w:r>
      <w:proofErr w:type="spellStart"/>
      <w:r w:rsidRPr="003E3F67">
        <w:rPr>
          <w:rFonts w:ascii="DecimaWE Rg" w:hAnsi="DecimaWE Rg"/>
          <w:sz w:val="18"/>
          <w:szCs w:val="18"/>
        </w:rPr>
        <w:t>Occupabilità</w:t>
      </w:r>
      <w:proofErr w:type="spellEnd"/>
      <w:r w:rsidRPr="003E3F67">
        <w:rPr>
          <w:rFonts w:ascii="DecimaWE Rg" w:hAnsi="DecimaWE Rg"/>
          <w:sz w:val="18"/>
          <w:szCs w:val="18"/>
        </w:rPr>
        <w:t xml:space="preserve"> è uno strumento già in utilizzo presso alcuni territori della regione precedentemente all’entrata in vigore della misura, che sarà oggetto di validazione e valutazione nel corso del triennio di sperimentazione. Si tratta di un questionario atto a supportare la valutazione professionale, attraverso la raccolta di una serie di informazioni della persona che consentono di fornire un quadro della situazione socio-occupazionale della stessa, evidenziando requisiti e </w:t>
      </w:r>
      <w:proofErr w:type="spellStart"/>
      <w:r w:rsidRPr="003E3F67">
        <w:rPr>
          <w:rFonts w:ascii="DecimaWE Rg" w:hAnsi="DecimaWE Rg"/>
          <w:sz w:val="18"/>
          <w:szCs w:val="18"/>
        </w:rPr>
        <w:t>pre</w:t>
      </w:r>
      <w:proofErr w:type="spellEnd"/>
      <w:r w:rsidRPr="003E3F67">
        <w:rPr>
          <w:rFonts w:ascii="DecimaWE Rg" w:hAnsi="DecimaWE Rg"/>
          <w:sz w:val="18"/>
          <w:szCs w:val="18"/>
        </w:rPr>
        <w:t xml:space="preserve">-requisiti di </w:t>
      </w:r>
      <w:proofErr w:type="spellStart"/>
      <w:r w:rsidRPr="003E3F67">
        <w:rPr>
          <w:rFonts w:ascii="DecimaWE Rg" w:hAnsi="DecimaWE Rg"/>
          <w:sz w:val="18"/>
          <w:szCs w:val="18"/>
        </w:rPr>
        <w:t>occupabilità</w:t>
      </w:r>
      <w:proofErr w:type="spellEnd"/>
      <w:r w:rsidRPr="003E3F67">
        <w:rPr>
          <w:rFonts w:ascii="DecimaWE Rg" w:hAnsi="DecimaWE Rg"/>
          <w:sz w:val="18"/>
          <w:szCs w:val="18"/>
        </w:rPr>
        <w:t xml:space="preserve"> e che, sulla base di un punteggio finale, può orientare l’operatore nell’individuazione delle finalità del patto, in senso più o meno lavoristico. </w:t>
      </w:r>
    </w:p>
  </w:footnote>
  <w:footnote w:id="22">
    <w:p w:rsidR="004B2DA8" w:rsidRDefault="004B2DA8" w:rsidP="00220A42">
      <w:pPr>
        <w:pStyle w:val="Testonotaapidipagina"/>
        <w:jc w:val="both"/>
      </w:pPr>
      <w:r w:rsidRPr="003E3F67">
        <w:rPr>
          <w:rStyle w:val="Rimandonotaapidipagina"/>
          <w:rFonts w:ascii="DecimaWE Rg" w:hAnsi="DecimaWE Rg"/>
          <w:sz w:val="18"/>
          <w:szCs w:val="18"/>
        </w:rPr>
        <w:footnoteRef/>
      </w:r>
      <w:r w:rsidRPr="003E3F67">
        <w:rPr>
          <w:rFonts w:ascii="DecimaWE Rg" w:hAnsi="DecimaWE Rg"/>
          <w:sz w:val="18"/>
          <w:szCs w:val="18"/>
        </w:rPr>
        <w:t xml:space="preserve"> Per ciascun nucleo può essere presente più di un patto: il patto viene infatti nuovamente siglato alla presentazione della domanda di </w:t>
      </w:r>
      <w:r w:rsidRPr="00982A78">
        <w:rPr>
          <w:rFonts w:ascii="DecimaWE Rg" w:hAnsi="DecimaWE Rg"/>
          <w:sz w:val="18"/>
          <w:szCs w:val="18"/>
        </w:rPr>
        <w:t>rinnovo o di diversa tipologia di istanza (SIA).</w:t>
      </w:r>
    </w:p>
  </w:footnote>
  <w:footnote w:id="23">
    <w:p w:rsidR="004B2DA8" w:rsidRDefault="004B2DA8" w:rsidP="00C35D8A">
      <w:pPr>
        <w:pStyle w:val="Testonotaapidipagina"/>
        <w:jc w:val="both"/>
      </w:pPr>
      <w:r w:rsidRPr="00982A78">
        <w:rPr>
          <w:rStyle w:val="Rimandonotaapidipagina"/>
          <w:rFonts w:ascii="DecimaWE Rg" w:hAnsi="DecimaWE Rg"/>
          <w:sz w:val="18"/>
          <w:szCs w:val="18"/>
        </w:rPr>
        <w:footnoteRef/>
      </w:r>
      <w:r w:rsidRPr="00982A78">
        <w:rPr>
          <w:rFonts w:ascii="DecimaWE Rg" w:hAnsi="DecimaWE Rg"/>
          <w:sz w:val="18"/>
          <w:szCs w:val="18"/>
        </w:rPr>
        <w:t xml:space="preserve"> Per la valutazione del dato relativo all’UTI Giuliana va tenuto conto che l’elevato numero di domande in carico al Co</w:t>
      </w:r>
      <w:r w:rsidR="00084273">
        <w:rPr>
          <w:rFonts w:ascii="DecimaWE Rg" w:hAnsi="DecimaWE Rg"/>
          <w:sz w:val="18"/>
          <w:szCs w:val="18"/>
        </w:rPr>
        <w:t>mune di Trieste ha comportato ra</w:t>
      </w:r>
      <w:r w:rsidRPr="00982A78">
        <w:rPr>
          <w:rFonts w:ascii="DecimaWE Rg" w:hAnsi="DecimaWE Rg"/>
          <w:sz w:val="18"/>
          <w:szCs w:val="18"/>
        </w:rPr>
        <w:t>llentamenti nella registrazione a sistema dei patti di inclusione sottoscritti e quindi una quota di essi potrebbe non risultare dai dati sulla base dei quali è stato elaborato il presente documento.</w:t>
      </w:r>
      <w:r w:rsidRPr="00C35D8A">
        <w:t xml:space="preserve"> </w:t>
      </w:r>
    </w:p>
  </w:footnote>
  <w:footnote w:id="24">
    <w:p w:rsidR="004B2DA8" w:rsidRDefault="004B2DA8" w:rsidP="00C35D8A">
      <w:pPr>
        <w:pStyle w:val="Testonotaapidipagina"/>
        <w:jc w:val="both"/>
      </w:pPr>
      <w:r w:rsidRPr="00C35D8A">
        <w:rPr>
          <w:rStyle w:val="Rimandonotaapidipagina"/>
          <w:rFonts w:ascii="DecimaWE Rg" w:hAnsi="DecimaWE Rg"/>
          <w:sz w:val="18"/>
          <w:szCs w:val="18"/>
        </w:rPr>
        <w:footnoteRef/>
      </w:r>
      <w:r w:rsidRPr="00C35D8A">
        <w:rPr>
          <w:rStyle w:val="Rimandonotaapidipagina"/>
          <w:rFonts w:ascii="DecimaWE Rg" w:hAnsi="DecimaWE Rg"/>
          <w:sz w:val="18"/>
          <w:szCs w:val="18"/>
        </w:rPr>
        <w:t xml:space="preserve"> </w:t>
      </w:r>
      <w:r w:rsidRPr="00C35D8A">
        <w:rPr>
          <w:rFonts w:ascii="DecimaWE Rg" w:hAnsi="DecimaWE Rg"/>
          <w:sz w:val="18"/>
          <w:szCs w:val="18"/>
        </w:rPr>
        <w:t>Per quanto al SSC dell’UTI Sile Meduna, a seguito di chiarimenti è emerso che la bassa percentuale di patti sottoscritti è imputabile alle difficoltà incontrate dal SSC nel corso del 2017 sul piano organizzativo e di acquisizione di personale che hanno rallentato le procedure di presa in carico dei nuclei. La situazione è progressivamente migliorata nel corso del 2018: nel mese di ottobre 2018 la copertura di sottoscrizione dei patti si attesta a circa il 50% dei beneficiari.</w:t>
      </w:r>
    </w:p>
  </w:footnote>
  <w:footnote w:id="25">
    <w:p w:rsidR="004B2DA8" w:rsidRDefault="004B2DA8" w:rsidP="001056C2">
      <w:pPr>
        <w:pStyle w:val="Testonotaapidipagina"/>
      </w:pPr>
      <w:r w:rsidRPr="000434B1">
        <w:rPr>
          <w:rStyle w:val="Rimandonotaapidipagina"/>
          <w:rFonts w:ascii="DecimaWE Rg" w:hAnsi="DecimaWE Rg"/>
          <w:sz w:val="18"/>
          <w:szCs w:val="18"/>
        </w:rPr>
        <w:footnoteRef/>
      </w:r>
      <w:r w:rsidRPr="000434B1">
        <w:rPr>
          <w:rFonts w:ascii="DecimaWE Rg" w:hAnsi="DecimaWE Rg"/>
          <w:sz w:val="18"/>
          <w:szCs w:val="18"/>
        </w:rPr>
        <w:t>Con riferimento ai patti monitorati la validazione dei CPI è richiesta per 868 patti complessivamente, quella dei COR per 100 patti.</w:t>
      </w:r>
    </w:p>
  </w:footnote>
  <w:footnote w:id="26">
    <w:p w:rsidR="004B2DA8" w:rsidRDefault="004B2DA8" w:rsidP="001056C2">
      <w:pPr>
        <w:pStyle w:val="Testonotaapidipagina"/>
        <w:jc w:val="both"/>
      </w:pPr>
      <w:r>
        <w:rPr>
          <w:rStyle w:val="Rimandonotaapidipagina"/>
        </w:rPr>
        <w:footnoteRef/>
      </w:r>
      <w:r w:rsidRPr="00B64C6A">
        <w:rPr>
          <w:rFonts w:ascii="DecimaWE Rg" w:hAnsi="DecimaWE Rg"/>
          <w:sz w:val="18"/>
          <w:szCs w:val="18"/>
        </w:rPr>
        <w:t xml:space="preserve"> Si pensi in particolare alle progettualità realizzate ai sensi dell’Obiettivo 9 in Area povertà, disagio sociale ed esclusione sociale relativo alle misure di contrasto alla povertà e all’integrazione con le politiche del lavoro dei Piani di Zona 2015-2018 e alle modalità di erogazione del Fondo di Solidarietà per progetti personalizzati adottate a livello territoriale.</w:t>
      </w:r>
    </w:p>
  </w:footnote>
  <w:footnote w:id="27">
    <w:p w:rsidR="005A0221" w:rsidRPr="008664B5" w:rsidRDefault="005A0221" w:rsidP="005A0221">
      <w:pPr>
        <w:pStyle w:val="Testonotaapidipagina"/>
        <w:jc w:val="both"/>
        <w:rPr>
          <w:rFonts w:ascii="DecimaWE Rg" w:hAnsi="DecimaWE Rg"/>
          <w:sz w:val="16"/>
          <w:szCs w:val="16"/>
        </w:rPr>
      </w:pPr>
      <w:r w:rsidRPr="008664B5">
        <w:rPr>
          <w:rStyle w:val="Rimandonotaapidipagina"/>
          <w:rFonts w:ascii="DecimaWE Rg" w:hAnsi="DecimaWE Rg"/>
          <w:sz w:val="16"/>
          <w:szCs w:val="16"/>
        </w:rPr>
        <w:footnoteRef/>
      </w:r>
      <w:r w:rsidRPr="008664B5">
        <w:rPr>
          <w:rFonts w:ascii="DecimaWE Rg" w:hAnsi="DecimaWE Rg"/>
          <w:sz w:val="16"/>
          <w:szCs w:val="16"/>
        </w:rPr>
        <w:t>Così come dichiarata all’interno della DSU-Dichiarazione sostitutiva unica ai fini ISEE. Tale dato può pert</w:t>
      </w:r>
      <w:r>
        <w:rPr>
          <w:rFonts w:ascii="DecimaWE Rg" w:hAnsi="DecimaWE Rg"/>
          <w:sz w:val="16"/>
          <w:szCs w:val="16"/>
        </w:rPr>
        <w:t>anto risultare difforme dalla reale condizione nel periodo di fruizione del beneficio</w:t>
      </w:r>
      <w:r w:rsidRPr="008664B5">
        <w:rPr>
          <w:rFonts w:ascii="DecimaWE Rg" w:hAnsi="DecimaWE Rg"/>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3C28"/>
    <w:multiLevelType w:val="hybridMultilevel"/>
    <w:tmpl w:val="85883C54"/>
    <w:lvl w:ilvl="0" w:tplc="7024A11C">
      <w:numFmt w:val="bullet"/>
      <w:lvlText w:val="-"/>
      <w:lvlJc w:val="left"/>
      <w:pPr>
        <w:ind w:left="1068" w:hanging="360"/>
      </w:pPr>
      <w:rPr>
        <w:rFonts w:ascii="Calibri" w:eastAsia="Times New Roman" w:hAnsi="Calibri"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22F42C69"/>
    <w:multiLevelType w:val="hybridMultilevel"/>
    <w:tmpl w:val="F80EE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E631CC"/>
    <w:multiLevelType w:val="hybridMultilevel"/>
    <w:tmpl w:val="35EE3774"/>
    <w:lvl w:ilvl="0" w:tplc="7024A1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EE0334"/>
    <w:multiLevelType w:val="multilevel"/>
    <w:tmpl w:val="A530AC5A"/>
    <w:lvl w:ilvl="0">
      <w:start w:val="2"/>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4">
    <w:nsid w:val="4C8021C7"/>
    <w:multiLevelType w:val="hybridMultilevel"/>
    <w:tmpl w:val="1D26BE42"/>
    <w:lvl w:ilvl="0" w:tplc="7024A11C">
      <w:numFmt w:val="bullet"/>
      <w:lvlText w:val="-"/>
      <w:lvlJc w:val="left"/>
      <w:pPr>
        <w:ind w:left="1069" w:hanging="360"/>
      </w:pPr>
      <w:rPr>
        <w:rFonts w:ascii="Calibri" w:eastAsia="Times New Roman" w:hAnsi="Calibri"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72E762E7"/>
    <w:multiLevelType w:val="multilevel"/>
    <w:tmpl w:val="A58200A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7F105DFE"/>
    <w:multiLevelType w:val="hybridMultilevel"/>
    <w:tmpl w:val="556A2552"/>
    <w:lvl w:ilvl="0" w:tplc="44642DE0">
      <w:numFmt w:val="bullet"/>
      <w:lvlText w:val="-"/>
      <w:lvlJc w:val="left"/>
      <w:pPr>
        <w:ind w:left="720" w:hanging="360"/>
      </w:pPr>
      <w:rPr>
        <w:rFonts w:ascii="DecimaWE Rg" w:eastAsia="Times New Roman" w:hAnsi="DecimaWE Rg"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75"/>
    <w:rsid w:val="00006B0D"/>
    <w:rsid w:val="00012A4D"/>
    <w:rsid w:val="000149BE"/>
    <w:rsid w:val="00015FA5"/>
    <w:rsid w:val="00017EA5"/>
    <w:rsid w:val="00024298"/>
    <w:rsid w:val="00025365"/>
    <w:rsid w:val="00025A11"/>
    <w:rsid w:val="00034C89"/>
    <w:rsid w:val="000400BF"/>
    <w:rsid w:val="000434B1"/>
    <w:rsid w:val="00044A9F"/>
    <w:rsid w:val="00052258"/>
    <w:rsid w:val="00053402"/>
    <w:rsid w:val="00061839"/>
    <w:rsid w:val="00063407"/>
    <w:rsid w:val="00063832"/>
    <w:rsid w:val="00066BBA"/>
    <w:rsid w:val="00066BE3"/>
    <w:rsid w:val="00075569"/>
    <w:rsid w:val="00076C0C"/>
    <w:rsid w:val="00077F82"/>
    <w:rsid w:val="00081186"/>
    <w:rsid w:val="00082714"/>
    <w:rsid w:val="000836F6"/>
    <w:rsid w:val="00084273"/>
    <w:rsid w:val="000852E6"/>
    <w:rsid w:val="000C1E1C"/>
    <w:rsid w:val="000C303C"/>
    <w:rsid w:val="000D0CB2"/>
    <w:rsid w:val="000D123B"/>
    <w:rsid w:val="000D6C37"/>
    <w:rsid w:val="000E4398"/>
    <w:rsid w:val="000F0D8C"/>
    <w:rsid w:val="001056C2"/>
    <w:rsid w:val="00107B45"/>
    <w:rsid w:val="00110B86"/>
    <w:rsid w:val="00110BD5"/>
    <w:rsid w:val="00112DC3"/>
    <w:rsid w:val="0012100A"/>
    <w:rsid w:val="0012247D"/>
    <w:rsid w:val="0012498C"/>
    <w:rsid w:val="001314A7"/>
    <w:rsid w:val="00140DCC"/>
    <w:rsid w:val="001450DA"/>
    <w:rsid w:val="00147931"/>
    <w:rsid w:val="00153587"/>
    <w:rsid w:val="00154910"/>
    <w:rsid w:val="00155289"/>
    <w:rsid w:val="00155772"/>
    <w:rsid w:val="0016265F"/>
    <w:rsid w:val="0016610C"/>
    <w:rsid w:val="00170882"/>
    <w:rsid w:val="00172F4A"/>
    <w:rsid w:val="001752F6"/>
    <w:rsid w:val="001776C6"/>
    <w:rsid w:val="0018280B"/>
    <w:rsid w:val="00191958"/>
    <w:rsid w:val="00196091"/>
    <w:rsid w:val="001A29EA"/>
    <w:rsid w:val="001A3FDF"/>
    <w:rsid w:val="001A416F"/>
    <w:rsid w:val="001A5008"/>
    <w:rsid w:val="001B1F38"/>
    <w:rsid w:val="001B3331"/>
    <w:rsid w:val="001B6D8B"/>
    <w:rsid w:val="001D1844"/>
    <w:rsid w:val="001E5C1F"/>
    <w:rsid w:val="001E5DBB"/>
    <w:rsid w:val="001F1026"/>
    <w:rsid w:val="001F4788"/>
    <w:rsid w:val="001F4E2D"/>
    <w:rsid w:val="001F603D"/>
    <w:rsid w:val="00205BA2"/>
    <w:rsid w:val="00206703"/>
    <w:rsid w:val="00213486"/>
    <w:rsid w:val="00217A90"/>
    <w:rsid w:val="00220A42"/>
    <w:rsid w:val="00221F3E"/>
    <w:rsid w:val="00225C76"/>
    <w:rsid w:val="0022652F"/>
    <w:rsid w:val="00227944"/>
    <w:rsid w:val="00227B75"/>
    <w:rsid w:val="00235D30"/>
    <w:rsid w:val="002414B9"/>
    <w:rsid w:val="002430BD"/>
    <w:rsid w:val="00252804"/>
    <w:rsid w:val="00256746"/>
    <w:rsid w:val="00257E55"/>
    <w:rsid w:val="002618BB"/>
    <w:rsid w:val="0026288A"/>
    <w:rsid w:val="00267BF9"/>
    <w:rsid w:val="00267DCC"/>
    <w:rsid w:val="00276722"/>
    <w:rsid w:val="002836D3"/>
    <w:rsid w:val="002863A6"/>
    <w:rsid w:val="00287B63"/>
    <w:rsid w:val="00291E2E"/>
    <w:rsid w:val="002920B9"/>
    <w:rsid w:val="002938CB"/>
    <w:rsid w:val="00295860"/>
    <w:rsid w:val="002967A3"/>
    <w:rsid w:val="00296D46"/>
    <w:rsid w:val="002A0024"/>
    <w:rsid w:val="002A1E2C"/>
    <w:rsid w:val="002B3E08"/>
    <w:rsid w:val="002B41A6"/>
    <w:rsid w:val="002B48A0"/>
    <w:rsid w:val="002B4F0B"/>
    <w:rsid w:val="002B5714"/>
    <w:rsid w:val="002D0BCF"/>
    <w:rsid w:val="002D0CB2"/>
    <w:rsid w:val="002D3B7D"/>
    <w:rsid w:val="002D46F3"/>
    <w:rsid w:val="002E07EE"/>
    <w:rsid w:val="002E158E"/>
    <w:rsid w:val="002F626F"/>
    <w:rsid w:val="002F6F8A"/>
    <w:rsid w:val="0030102B"/>
    <w:rsid w:val="00302114"/>
    <w:rsid w:val="003024F8"/>
    <w:rsid w:val="00307EC3"/>
    <w:rsid w:val="00311C48"/>
    <w:rsid w:val="00314856"/>
    <w:rsid w:val="00323DBD"/>
    <w:rsid w:val="00327A25"/>
    <w:rsid w:val="003335A9"/>
    <w:rsid w:val="0033759E"/>
    <w:rsid w:val="00340379"/>
    <w:rsid w:val="00343770"/>
    <w:rsid w:val="00344A13"/>
    <w:rsid w:val="00353429"/>
    <w:rsid w:val="00355451"/>
    <w:rsid w:val="00355F02"/>
    <w:rsid w:val="00370294"/>
    <w:rsid w:val="0037154F"/>
    <w:rsid w:val="0037420D"/>
    <w:rsid w:val="0037678B"/>
    <w:rsid w:val="00381159"/>
    <w:rsid w:val="0038465E"/>
    <w:rsid w:val="00384E88"/>
    <w:rsid w:val="00384EB8"/>
    <w:rsid w:val="00385907"/>
    <w:rsid w:val="003863F1"/>
    <w:rsid w:val="00391D39"/>
    <w:rsid w:val="003951B9"/>
    <w:rsid w:val="00396976"/>
    <w:rsid w:val="003A3635"/>
    <w:rsid w:val="003A7194"/>
    <w:rsid w:val="003B16C3"/>
    <w:rsid w:val="003B515C"/>
    <w:rsid w:val="003B5952"/>
    <w:rsid w:val="003B6A3B"/>
    <w:rsid w:val="003C6CFA"/>
    <w:rsid w:val="003C7C02"/>
    <w:rsid w:val="003D19D3"/>
    <w:rsid w:val="003D4DEC"/>
    <w:rsid w:val="003D721C"/>
    <w:rsid w:val="003E11DF"/>
    <w:rsid w:val="003E1BE2"/>
    <w:rsid w:val="003E34B3"/>
    <w:rsid w:val="003E3F67"/>
    <w:rsid w:val="003F2BDA"/>
    <w:rsid w:val="003F5D56"/>
    <w:rsid w:val="003F6DE7"/>
    <w:rsid w:val="00403636"/>
    <w:rsid w:val="00417884"/>
    <w:rsid w:val="00420931"/>
    <w:rsid w:val="00425A98"/>
    <w:rsid w:val="004314B8"/>
    <w:rsid w:val="00432D67"/>
    <w:rsid w:val="00434F43"/>
    <w:rsid w:val="00440C23"/>
    <w:rsid w:val="004529E3"/>
    <w:rsid w:val="004631E9"/>
    <w:rsid w:val="0046622C"/>
    <w:rsid w:val="004663F3"/>
    <w:rsid w:val="0046791A"/>
    <w:rsid w:val="00472C84"/>
    <w:rsid w:val="004756DE"/>
    <w:rsid w:val="004768CE"/>
    <w:rsid w:val="004771DD"/>
    <w:rsid w:val="00481869"/>
    <w:rsid w:val="0049536C"/>
    <w:rsid w:val="004A0AD8"/>
    <w:rsid w:val="004A188A"/>
    <w:rsid w:val="004A4157"/>
    <w:rsid w:val="004B28B3"/>
    <w:rsid w:val="004B2BCF"/>
    <w:rsid w:val="004B2DA8"/>
    <w:rsid w:val="004B4DC9"/>
    <w:rsid w:val="004B5FD3"/>
    <w:rsid w:val="004C0665"/>
    <w:rsid w:val="004C0D94"/>
    <w:rsid w:val="004C245D"/>
    <w:rsid w:val="004C4797"/>
    <w:rsid w:val="004D28E3"/>
    <w:rsid w:val="004D391B"/>
    <w:rsid w:val="004D6D8E"/>
    <w:rsid w:val="004D7C46"/>
    <w:rsid w:val="004E0904"/>
    <w:rsid w:val="004E3827"/>
    <w:rsid w:val="004E5871"/>
    <w:rsid w:val="004F1783"/>
    <w:rsid w:val="004F3A46"/>
    <w:rsid w:val="0050060D"/>
    <w:rsid w:val="00502925"/>
    <w:rsid w:val="00510896"/>
    <w:rsid w:val="0051632C"/>
    <w:rsid w:val="00520295"/>
    <w:rsid w:val="00522728"/>
    <w:rsid w:val="00522AD5"/>
    <w:rsid w:val="005245EB"/>
    <w:rsid w:val="00524792"/>
    <w:rsid w:val="00525562"/>
    <w:rsid w:val="00532240"/>
    <w:rsid w:val="00533DB5"/>
    <w:rsid w:val="0054402C"/>
    <w:rsid w:val="00546EC4"/>
    <w:rsid w:val="00550FAE"/>
    <w:rsid w:val="005535A0"/>
    <w:rsid w:val="00554BBE"/>
    <w:rsid w:val="00555955"/>
    <w:rsid w:val="00560420"/>
    <w:rsid w:val="005614DD"/>
    <w:rsid w:val="00563951"/>
    <w:rsid w:val="00563B3E"/>
    <w:rsid w:val="00563CC2"/>
    <w:rsid w:val="00566BDF"/>
    <w:rsid w:val="005705F4"/>
    <w:rsid w:val="00571D4D"/>
    <w:rsid w:val="005737A1"/>
    <w:rsid w:val="00577ED6"/>
    <w:rsid w:val="00580DCB"/>
    <w:rsid w:val="00582CB5"/>
    <w:rsid w:val="00584CBD"/>
    <w:rsid w:val="00587AC8"/>
    <w:rsid w:val="005907F3"/>
    <w:rsid w:val="00591B34"/>
    <w:rsid w:val="00595DC7"/>
    <w:rsid w:val="00596483"/>
    <w:rsid w:val="005971AF"/>
    <w:rsid w:val="005A0221"/>
    <w:rsid w:val="005A0A75"/>
    <w:rsid w:val="005A2A42"/>
    <w:rsid w:val="005B3254"/>
    <w:rsid w:val="005B720B"/>
    <w:rsid w:val="005B7C48"/>
    <w:rsid w:val="005C09EC"/>
    <w:rsid w:val="005C0A3B"/>
    <w:rsid w:val="005C4F7F"/>
    <w:rsid w:val="005C5447"/>
    <w:rsid w:val="005C572A"/>
    <w:rsid w:val="005D39FF"/>
    <w:rsid w:val="005D6690"/>
    <w:rsid w:val="005D7842"/>
    <w:rsid w:val="005E03BA"/>
    <w:rsid w:val="005E15BD"/>
    <w:rsid w:val="005E1752"/>
    <w:rsid w:val="005E5F0A"/>
    <w:rsid w:val="005E6902"/>
    <w:rsid w:val="005E697D"/>
    <w:rsid w:val="005E740E"/>
    <w:rsid w:val="005E7F3F"/>
    <w:rsid w:val="005F116F"/>
    <w:rsid w:val="005F294C"/>
    <w:rsid w:val="005F2FA7"/>
    <w:rsid w:val="005F456B"/>
    <w:rsid w:val="005F4AD0"/>
    <w:rsid w:val="005F6C9B"/>
    <w:rsid w:val="006130BE"/>
    <w:rsid w:val="006150D5"/>
    <w:rsid w:val="006161CD"/>
    <w:rsid w:val="00616A62"/>
    <w:rsid w:val="00620847"/>
    <w:rsid w:val="006237BA"/>
    <w:rsid w:val="00625597"/>
    <w:rsid w:val="006257A3"/>
    <w:rsid w:val="00625E89"/>
    <w:rsid w:val="00626BB0"/>
    <w:rsid w:val="0063076C"/>
    <w:rsid w:val="0063436D"/>
    <w:rsid w:val="00640D71"/>
    <w:rsid w:val="006412F4"/>
    <w:rsid w:val="0064438C"/>
    <w:rsid w:val="00644796"/>
    <w:rsid w:val="00647C33"/>
    <w:rsid w:val="0065259E"/>
    <w:rsid w:val="00657402"/>
    <w:rsid w:val="00667C26"/>
    <w:rsid w:val="00681FA8"/>
    <w:rsid w:val="00682EAA"/>
    <w:rsid w:val="006940C2"/>
    <w:rsid w:val="00695323"/>
    <w:rsid w:val="006B533F"/>
    <w:rsid w:val="006C5474"/>
    <w:rsid w:val="006D0556"/>
    <w:rsid w:val="006D0BD4"/>
    <w:rsid w:val="006D2770"/>
    <w:rsid w:val="006D436A"/>
    <w:rsid w:val="006D4490"/>
    <w:rsid w:val="006D5249"/>
    <w:rsid w:val="006E4F7E"/>
    <w:rsid w:val="006E68BC"/>
    <w:rsid w:val="00701DD8"/>
    <w:rsid w:val="007104C1"/>
    <w:rsid w:val="00712226"/>
    <w:rsid w:val="00716AF3"/>
    <w:rsid w:val="0072272D"/>
    <w:rsid w:val="0072680F"/>
    <w:rsid w:val="0073014C"/>
    <w:rsid w:val="00732876"/>
    <w:rsid w:val="00736D79"/>
    <w:rsid w:val="00737BDB"/>
    <w:rsid w:val="00740B90"/>
    <w:rsid w:val="00742BD3"/>
    <w:rsid w:val="00744546"/>
    <w:rsid w:val="00747A1A"/>
    <w:rsid w:val="00756655"/>
    <w:rsid w:val="00760098"/>
    <w:rsid w:val="00770249"/>
    <w:rsid w:val="0077740F"/>
    <w:rsid w:val="00780F42"/>
    <w:rsid w:val="007951AE"/>
    <w:rsid w:val="007A2487"/>
    <w:rsid w:val="007A6162"/>
    <w:rsid w:val="007C0EA2"/>
    <w:rsid w:val="007C1FA2"/>
    <w:rsid w:val="007C7A39"/>
    <w:rsid w:val="007D554C"/>
    <w:rsid w:val="007D57B9"/>
    <w:rsid w:val="007D691B"/>
    <w:rsid w:val="007E2811"/>
    <w:rsid w:val="007E3D0B"/>
    <w:rsid w:val="007E61E8"/>
    <w:rsid w:val="007F1543"/>
    <w:rsid w:val="007F3936"/>
    <w:rsid w:val="007F4789"/>
    <w:rsid w:val="00800221"/>
    <w:rsid w:val="00802794"/>
    <w:rsid w:val="00805BE0"/>
    <w:rsid w:val="00814035"/>
    <w:rsid w:val="008216CC"/>
    <w:rsid w:val="00822A0A"/>
    <w:rsid w:val="00831C6F"/>
    <w:rsid w:val="0083206C"/>
    <w:rsid w:val="00833239"/>
    <w:rsid w:val="00840EDF"/>
    <w:rsid w:val="00842C0C"/>
    <w:rsid w:val="00842F22"/>
    <w:rsid w:val="0084536E"/>
    <w:rsid w:val="008476EE"/>
    <w:rsid w:val="00851D71"/>
    <w:rsid w:val="00852256"/>
    <w:rsid w:val="0085395B"/>
    <w:rsid w:val="0085408A"/>
    <w:rsid w:val="0085721A"/>
    <w:rsid w:val="0086280E"/>
    <w:rsid w:val="00863A32"/>
    <w:rsid w:val="00863E7C"/>
    <w:rsid w:val="00864143"/>
    <w:rsid w:val="00864514"/>
    <w:rsid w:val="00874B0F"/>
    <w:rsid w:val="0087555F"/>
    <w:rsid w:val="00880672"/>
    <w:rsid w:val="00890D37"/>
    <w:rsid w:val="008A1AAF"/>
    <w:rsid w:val="008A3122"/>
    <w:rsid w:val="008A3839"/>
    <w:rsid w:val="008B1ABE"/>
    <w:rsid w:val="008B46AC"/>
    <w:rsid w:val="008B65BC"/>
    <w:rsid w:val="008B7715"/>
    <w:rsid w:val="008B7A96"/>
    <w:rsid w:val="008B7C20"/>
    <w:rsid w:val="008C1418"/>
    <w:rsid w:val="008C2A61"/>
    <w:rsid w:val="008C3EED"/>
    <w:rsid w:val="008C77B8"/>
    <w:rsid w:val="008D6440"/>
    <w:rsid w:val="008E4989"/>
    <w:rsid w:val="008E67FD"/>
    <w:rsid w:val="008F127C"/>
    <w:rsid w:val="008F140A"/>
    <w:rsid w:val="009003D6"/>
    <w:rsid w:val="0090317A"/>
    <w:rsid w:val="00905304"/>
    <w:rsid w:val="00905D34"/>
    <w:rsid w:val="009111D0"/>
    <w:rsid w:val="009152BF"/>
    <w:rsid w:val="00917EF7"/>
    <w:rsid w:val="00920465"/>
    <w:rsid w:val="00921B55"/>
    <w:rsid w:val="0092610F"/>
    <w:rsid w:val="00926F23"/>
    <w:rsid w:val="00934775"/>
    <w:rsid w:val="00936226"/>
    <w:rsid w:val="0093777C"/>
    <w:rsid w:val="00940F5A"/>
    <w:rsid w:val="009448D1"/>
    <w:rsid w:val="00945042"/>
    <w:rsid w:val="0094643A"/>
    <w:rsid w:val="00946EE2"/>
    <w:rsid w:val="009528DF"/>
    <w:rsid w:val="009554ED"/>
    <w:rsid w:val="00961A53"/>
    <w:rsid w:val="00965220"/>
    <w:rsid w:val="00965354"/>
    <w:rsid w:val="00965FF2"/>
    <w:rsid w:val="00967BDE"/>
    <w:rsid w:val="00967EDD"/>
    <w:rsid w:val="00973C3E"/>
    <w:rsid w:val="009824C6"/>
    <w:rsid w:val="00982A78"/>
    <w:rsid w:val="0098420A"/>
    <w:rsid w:val="0098479C"/>
    <w:rsid w:val="009913A5"/>
    <w:rsid w:val="009965A3"/>
    <w:rsid w:val="00996961"/>
    <w:rsid w:val="009A280A"/>
    <w:rsid w:val="009A6C92"/>
    <w:rsid w:val="009C0AF2"/>
    <w:rsid w:val="009C45DD"/>
    <w:rsid w:val="009E02D7"/>
    <w:rsid w:val="009E2DF2"/>
    <w:rsid w:val="009F2EA5"/>
    <w:rsid w:val="009F2FFC"/>
    <w:rsid w:val="009F3604"/>
    <w:rsid w:val="009F6CA2"/>
    <w:rsid w:val="00A01DA2"/>
    <w:rsid w:val="00A07544"/>
    <w:rsid w:val="00A12B82"/>
    <w:rsid w:val="00A12FE9"/>
    <w:rsid w:val="00A14CB0"/>
    <w:rsid w:val="00A262C7"/>
    <w:rsid w:val="00A2701D"/>
    <w:rsid w:val="00A4141B"/>
    <w:rsid w:val="00A428B5"/>
    <w:rsid w:val="00A45C34"/>
    <w:rsid w:val="00A45F48"/>
    <w:rsid w:val="00A467B6"/>
    <w:rsid w:val="00A5337D"/>
    <w:rsid w:val="00A555C6"/>
    <w:rsid w:val="00A5598E"/>
    <w:rsid w:val="00A67AEB"/>
    <w:rsid w:val="00A70507"/>
    <w:rsid w:val="00A70926"/>
    <w:rsid w:val="00A71B66"/>
    <w:rsid w:val="00A71CCE"/>
    <w:rsid w:val="00A777B5"/>
    <w:rsid w:val="00A81458"/>
    <w:rsid w:val="00A87E4C"/>
    <w:rsid w:val="00A9168F"/>
    <w:rsid w:val="00A97046"/>
    <w:rsid w:val="00AA04E4"/>
    <w:rsid w:val="00AA2F3A"/>
    <w:rsid w:val="00AA40FA"/>
    <w:rsid w:val="00AA7B58"/>
    <w:rsid w:val="00AB4C0C"/>
    <w:rsid w:val="00AB6ED7"/>
    <w:rsid w:val="00AC20A8"/>
    <w:rsid w:val="00AC37CD"/>
    <w:rsid w:val="00AD102F"/>
    <w:rsid w:val="00AD591C"/>
    <w:rsid w:val="00AE22B1"/>
    <w:rsid w:val="00AE392B"/>
    <w:rsid w:val="00AF2D95"/>
    <w:rsid w:val="00AF7014"/>
    <w:rsid w:val="00B0780A"/>
    <w:rsid w:val="00B137F5"/>
    <w:rsid w:val="00B14804"/>
    <w:rsid w:val="00B151F0"/>
    <w:rsid w:val="00B24535"/>
    <w:rsid w:val="00B2552D"/>
    <w:rsid w:val="00B3211B"/>
    <w:rsid w:val="00B3393E"/>
    <w:rsid w:val="00B341DC"/>
    <w:rsid w:val="00B34AD4"/>
    <w:rsid w:val="00B358C3"/>
    <w:rsid w:val="00B51603"/>
    <w:rsid w:val="00B5354E"/>
    <w:rsid w:val="00B64C6A"/>
    <w:rsid w:val="00B76D9E"/>
    <w:rsid w:val="00B7734C"/>
    <w:rsid w:val="00B82284"/>
    <w:rsid w:val="00B918AB"/>
    <w:rsid w:val="00B93779"/>
    <w:rsid w:val="00B955E9"/>
    <w:rsid w:val="00B96A9C"/>
    <w:rsid w:val="00BA22FF"/>
    <w:rsid w:val="00BA421B"/>
    <w:rsid w:val="00BA792C"/>
    <w:rsid w:val="00BB0BC4"/>
    <w:rsid w:val="00BB43DF"/>
    <w:rsid w:val="00BB58AA"/>
    <w:rsid w:val="00BC3ED1"/>
    <w:rsid w:val="00BC4644"/>
    <w:rsid w:val="00BD0351"/>
    <w:rsid w:val="00BD583F"/>
    <w:rsid w:val="00BE16D9"/>
    <w:rsid w:val="00BE2039"/>
    <w:rsid w:val="00BF30DC"/>
    <w:rsid w:val="00BF3BAD"/>
    <w:rsid w:val="00C012F4"/>
    <w:rsid w:val="00C1329B"/>
    <w:rsid w:val="00C13717"/>
    <w:rsid w:val="00C20076"/>
    <w:rsid w:val="00C232A1"/>
    <w:rsid w:val="00C27F80"/>
    <w:rsid w:val="00C30F1F"/>
    <w:rsid w:val="00C31B10"/>
    <w:rsid w:val="00C3454E"/>
    <w:rsid w:val="00C35D8A"/>
    <w:rsid w:val="00C4069C"/>
    <w:rsid w:val="00C4401F"/>
    <w:rsid w:val="00C45B97"/>
    <w:rsid w:val="00C4794D"/>
    <w:rsid w:val="00C47E4C"/>
    <w:rsid w:val="00C55EDC"/>
    <w:rsid w:val="00C56B39"/>
    <w:rsid w:val="00C61BD2"/>
    <w:rsid w:val="00C66D1F"/>
    <w:rsid w:val="00C679CF"/>
    <w:rsid w:val="00C7296F"/>
    <w:rsid w:val="00C73B2E"/>
    <w:rsid w:val="00C74409"/>
    <w:rsid w:val="00C74CC2"/>
    <w:rsid w:val="00C76D04"/>
    <w:rsid w:val="00C81CD2"/>
    <w:rsid w:val="00C857FA"/>
    <w:rsid w:val="00C90378"/>
    <w:rsid w:val="00C92994"/>
    <w:rsid w:val="00CA0B62"/>
    <w:rsid w:val="00CA3D44"/>
    <w:rsid w:val="00CA47CE"/>
    <w:rsid w:val="00CA68BE"/>
    <w:rsid w:val="00CC0059"/>
    <w:rsid w:val="00CD14E7"/>
    <w:rsid w:val="00CF006B"/>
    <w:rsid w:val="00D03EB0"/>
    <w:rsid w:val="00D044CF"/>
    <w:rsid w:val="00D115C7"/>
    <w:rsid w:val="00D20098"/>
    <w:rsid w:val="00D21ABC"/>
    <w:rsid w:val="00D25502"/>
    <w:rsid w:val="00D27AA0"/>
    <w:rsid w:val="00D4264E"/>
    <w:rsid w:val="00D52FED"/>
    <w:rsid w:val="00D561A9"/>
    <w:rsid w:val="00D636F6"/>
    <w:rsid w:val="00D66BDF"/>
    <w:rsid w:val="00D71038"/>
    <w:rsid w:val="00D76470"/>
    <w:rsid w:val="00D806F9"/>
    <w:rsid w:val="00D81539"/>
    <w:rsid w:val="00D842E0"/>
    <w:rsid w:val="00D8548D"/>
    <w:rsid w:val="00D867A0"/>
    <w:rsid w:val="00D872F8"/>
    <w:rsid w:val="00D921A6"/>
    <w:rsid w:val="00D978D9"/>
    <w:rsid w:val="00DA1CE0"/>
    <w:rsid w:val="00DB18EA"/>
    <w:rsid w:val="00DB7345"/>
    <w:rsid w:val="00DC1E55"/>
    <w:rsid w:val="00DC4A53"/>
    <w:rsid w:val="00DD385B"/>
    <w:rsid w:val="00DD3F56"/>
    <w:rsid w:val="00DD66DB"/>
    <w:rsid w:val="00DE5A1E"/>
    <w:rsid w:val="00DF219C"/>
    <w:rsid w:val="00DF23C0"/>
    <w:rsid w:val="00DF6F7C"/>
    <w:rsid w:val="00DF7BDF"/>
    <w:rsid w:val="00E01175"/>
    <w:rsid w:val="00E01F94"/>
    <w:rsid w:val="00E05932"/>
    <w:rsid w:val="00E0729B"/>
    <w:rsid w:val="00E07566"/>
    <w:rsid w:val="00E14F1C"/>
    <w:rsid w:val="00E237E4"/>
    <w:rsid w:val="00E23CC4"/>
    <w:rsid w:val="00E37449"/>
    <w:rsid w:val="00E4093A"/>
    <w:rsid w:val="00E40C59"/>
    <w:rsid w:val="00E40D22"/>
    <w:rsid w:val="00E42191"/>
    <w:rsid w:val="00E459D7"/>
    <w:rsid w:val="00E51A14"/>
    <w:rsid w:val="00E52171"/>
    <w:rsid w:val="00E61691"/>
    <w:rsid w:val="00E62599"/>
    <w:rsid w:val="00E633EA"/>
    <w:rsid w:val="00E64922"/>
    <w:rsid w:val="00E703FF"/>
    <w:rsid w:val="00E72780"/>
    <w:rsid w:val="00E74313"/>
    <w:rsid w:val="00E77BDD"/>
    <w:rsid w:val="00E85D36"/>
    <w:rsid w:val="00E90102"/>
    <w:rsid w:val="00E921AB"/>
    <w:rsid w:val="00E9349E"/>
    <w:rsid w:val="00E93E5E"/>
    <w:rsid w:val="00E94D78"/>
    <w:rsid w:val="00E961EA"/>
    <w:rsid w:val="00E97248"/>
    <w:rsid w:val="00EA7789"/>
    <w:rsid w:val="00EB430F"/>
    <w:rsid w:val="00EB4D5E"/>
    <w:rsid w:val="00EB4F96"/>
    <w:rsid w:val="00EC1F4B"/>
    <w:rsid w:val="00ED0B1B"/>
    <w:rsid w:val="00ED0CA5"/>
    <w:rsid w:val="00ED355D"/>
    <w:rsid w:val="00ED4C84"/>
    <w:rsid w:val="00ED73ED"/>
    <w:rsid w:val="00EE5787"/>
    <w:rsid w:val="00EF17A2"/>
    <w:rsid w:val="00EF3538"/>
    <w:rsid w:val="00EF57D7"/>
    <w:rsid w:val="00EF6A5C"/>
    <w:rsid w:val="00EF7AE2"/>
    <w:rsid w:val="00F028D2"/>
    <w:rsid w:val="00F03EB3"/>
    <w:rsid w:val="00F110F7"/>
    <w:rsid w:val="00F13C9C"/>
    <w:rsid w:val="00F1410A"/>
    <w:rsid w:val="00F2725B"/>
    <w:rsid w:val="00F2754E"/>
    <w:rsid w:val="00F30BAD"/>
    <w:rsid w:val="00F34037"/>
    <w:rsid w:val="00F40118"/>
    <w:rsid w:val="00F41B66"/>
    <w:rsid w:val="00F64839"/>
    <w:rsid w:val="00F81632"/>
    <w:rsid w:val="00F84524"/>
    <w:rsid w:val="00F84FB4"/>
    <w:rsid w:val="00F8708E"/>
    <w:rsid w:val="00F95650"/>
    <w:rsid w:val="00F97FD4"/>
    <w:rsid w:val="00FA2B74"/>
    <w:rsid w:val="00FB2C90"/>
    <w:rsid w:val="00FB3380"/>
    <w:rsid w:val="00FB4539"/>
    <w:rsid w:val="00FB642C"/>
    <w:rsid w:val="00FB71FA"/>
    <w:rsid w:val="00FC1842"/>
    <w:rsid w:val="00FC3621"/>
    <w:rsid w:val="00FC37A7"/>
    <w:rsid w:val="00FC54B3"/>
    <w:rsid w:val="00FD44BA"/>
    <w:rsid w:val="00FD5085"/>
    <w:rsid w:val="00FD7413"/>
    <w:rsid w:val="00FE2570"/>
    <w:rsid w:val="00FE4364"/>
    <w:rsid w:val="00FE5F81"/>
    <w:rsid w:val="00FE6990"/>
    <w:rsid w:val="00FF17C4"/>
    <w:rsid w:val="00FF22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0926"/>
    <w:pPr>
      <w:spacing w:after="200" w:line="276" w:lineRule="auto"/>
    </w:pPr>
    <w:rPr>
      <w:lang w:eastAsia="en-US"/>
    </w:rPr>
  </w:style>
  <w:style w:type="paragraph" w:styleId="Titolo1">
    <w:name w:val="heading 1"/>
    <w:basedOn w:val="Normale"/>
    <w:next w:val="Normale"/>
    <w:link w:val="Titolo1Carattere"/>
    <w:qFormat/>
    <w:locked/>
    <w:rsid w:val="00946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C45DD"/>
    <w:pPr>
      <w:ind w:left="720"/>
      <w:contextualSpacing/>
    </w:pPr>
  </w:style>
  <w:style w:type="paragraph" w:styleId="Testofumetto">
    <w:name w:val="Balloon Text"/>
    <w:basedOn w:val="Normale"/>
    <w:link w:val="TestofumettoCarattere"/>
    <w:uiPriority w:val="99"/>
    <w:semiHidden/>
    <w:rsid w:val="009F2E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F2EA5"/>
    <w:rPr>
      <w:rFonts w:ascii="Tahoma" w:hAnsi="Tahoma" w:cs="Tahoma"/>
      <w:sz w:val="16"/>
      <w:szCs w:val="16"/>
    </w:rPr>
  </w:style>
  <w:style w:type="paragraph" w:styleId="Testonotaapidipagina">
    <w:name w:val="footnote text"/>
    <w:basedOn w:val="Normale"/>
    <w:link w:val="TestonotaapidipaginaCarattere"/>
    <w:uiPriority w:val="99"/>
    <w:semiHidden/>
    <w:rsid w:val="00FB2C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FB2C90"/>
    <w:rPr>
      <w:rFonts w:cs="Times New Roman"/>
      <w:sz w:val="20"/>
      <w:szCs w:val="20"/>
    </w:rPr>
  </w:style>
  <w:style w:type="character" w:styleId="Rimandonotaapidipagina">
    <w:name w:val="footnote reference"/>
    <w:basedOn w:val="Carpredefinitoparagrafo"/>
    <w:uiPriority w:val="99"/>
    <w:semiHidden/>
    <w:rsid w:val="00FB2C90"/>
    <w:rPr>
      <w:rFonts w:cs="Times New Roman"/>
      <w:vertAlign w:val="superscript"/>
    </w:rPr>
  </w:style>
  <w:style w:type="paragraph" w:styleId="Intestazione">
    <w:name w:val="header"/>
    <w:basedOn w:val="Normale"/>
    <w:link w:val="IntestazioneCarattere"/>
    <w:uiPriority w:val="99"/>
    <w:rsid w:val="00831C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31C6F"/>
    <w:rPr>
      <w:rFonts w:cs="Times New Roman"/>
    </w:rPr>
  </w:style>
  <w:style w:type="paragraph" w:styleId="Pidipagina">
    <w:name w:val="footer"/>
    <w:basedOn w:val="Normale"/>
    <w:link w:val="PidipaginaCarattere"/>
    <w:uiPriority w:val="99"/>
    <w:rsid w:val="00831C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831C6F"/>
    <w:rPr>
      <w:rFonts w:cs="Times New Roman"/>
    </w:rPr>
  </w:style>
  <w:style w:type="character" w:customStyle="1" w:styleId="Titolo1Carattere">
    <w:name w:val="Titolo 1 Carattere"/>
    <w:basedOn w:val="Carpredefinitoparagrafo"/>
    <w:link w:val="Titolo1"/>
    <w:rsid w:val="0094643A"/>
    <w:rPr>
      <w:rFonts w:asciiTheme="majorHAnsi" w:eastAsiaTheme="majorEastAsia" w:hAnsiTheme="majorHAnsi" w:cstheme="majorBidi"/>
      <w:b/>
      <w:bCs/>
      <w:color w:val="365F91" w:themeColor="accent1" w:themeShade="BF"/>
      <w:sz w:val="28"/>
      <w:szCs w:val="28"/>
      <w:lang w:eastAsia="en-US"/>
    </w:rPr>
  </w:style>
  <w:style w:type="paragraph" w:styleId="Sommario1">
    <w:name w:val="toc 1"/>
    <w:basedOn w:val="Normale"/>
    <w:next w:val="Normale"/>
    <w:autoRedefine/>
    <w:uiPriority w:val="39"/>
    <w:locked/>
    <w:rsid w:val="0094643A"/>
    <w:pPr>
      <w:spacing w:after="100"/>
    </w:pPr>
  </w:style>
  <w:style w:type="character" w:styleId="Collegamentoipertestuale">
    <w:name w:val="Hyperlink"/>
    <w:basedOn w:val="Carpredefinitoparagrafo"/>
    <w:uiPriority w:val="99"/>
    <w:unhideWhenUsed/>
    <w:rsid w:val="009464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0926"/>
    <w:pPr>
      <w:spacing w:after="200" w:line="276" w:lineRule="auto"/>
    </w:pPr>
    <w:rPr>
      <w:lang w:eastAsia="en-US"/>
    </w:rPr>
  </w:style>
  <w:style w:type="paragraph" w:styleId="Titolo1">
    <w:name w:val="heading 1"/>
    <w:basedOn w:val="Normale"/>
    <w:next w:val="Normale"/>
    <w:link w:val="Titolo1Carattere"/>
    <w:qFormat/>
    <w:locked/>
    <w:rsid w:val="00946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C45DD"/>
    <w:pPr>
      <w:ind w:left="720"/>
      <w:contextualSpacing/>
    </w:pPr>
  </w:style>
  <w:style w:type="paragraph" w:styleId="Testofumetto">
    <w:name w:val="Balloon Text"/>
    <w:basedOn w:val="Normale"/>
    <w:link w:val="TestofumettoCarattere"/>
    <w:uiPriority w:val="99"/>
    <w:semiHidden/>
    <w:rsid w:val="009F2E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F2EA5"/>
    <w:rPr>
      <w:rFonts w:ascii="Tahoma" w:hAnsi="Tahoma" w:cs="Tahoma"/>
      <w:sz w:val="16"/>
      <w:szCs w:val="16"/>
    </w:rPr>
  </w:style>
  <w:style w:type="paragraph" w:styleId="Testonotaapidipagina">
    <w:name w:val="footnote text"/>
    <w:basedOn w:val="Normale"/>
    <w:link w:val="TestonotaapidipaginaCarattere"/>
    <w:uiPriority w:val="99"/>
    <w:semiHidden/>
    <w:rsid w:val="00FB2C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FB2C90"/>
    <w:rPr>
      <w:rFonts w:cs="Times New Roman"/>
      <w:sz w:val="20"/>
      <w:szCs w:val="20"/>
    </w:rPr>
  </w:style>
  <w:style w:type="character" w:styleId="Rimandonotaapidipagina">
    <w:name w:val="footnote reference"/>
    <w:basedOn w:val="Carpredefinitoparagrafo"/>
    <w:uiPriority w:val="99"/>
    <w:semiHidden/>
    <w:rsid w:val="00FB2C90"/>
    <w:rPr>
      <w:rFonts w:cs="Times New Roman"/>
      <w:vertAlign w:val="superscript"/>
    </w:rPr>
  </w:style>
  <w:style w:type="paragraph" w:styleId="Intestazione">
    <w:name w:val="header"/>
    <w:basedOn w:val="Normale"/>
    <w:link w:val="IntestazioneCarattere"/>
    <w:uiPriority w:val="99"/>
    <w:rsid w:val="00831C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31C6F"/>
    <w:rPr>
      <w:rFonts w:cs="Times New Roman"/>
    </w:rPr>
  </w:style>
  <w:style w:type="paragraph" w:styleId="Pidipagina">
    <w:name w:val="footer"/>
    <w:basedOn w:val="Normale"/>
    <w:link w:val="PidipaginaCarattere"/>
    <w:uiPriority w:val="99"/>
    <w:rsid w:val="00831C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831C6F"/>
    <w:rPr>
      <w:rFonts w:cs="Times New Roman"/>
    </w:rPr>
  </w:style>
  <w:style w:type="character" w:customStyle="1" w:styleId="Titolo1Carattere">
    <w:name w:val="Titolo 1 Carattere"/>
    <w:basedOn w:val="Carpredefinitoparagrafo"/>
    <w:link w:val="Titolo1"/>
    <w:rsid w:val="0094643A"/>
    <w:rPr>
      <w:rFonts w:asciiTheme="majorHAnsi" w:eastAsiaTheme="majorEastAsia" w:hAnsiTheme="majorHAnsi" w:cstheme="majorBidi"/>
      <w:b/>
      <w:bCs/>
      <w:color w:val="365F91" w:themeColor="accent1" w:themeShade="BF"/>
      <w:sz w:val="28"/>
      <w:szCs w:val="28"/>
      <w:lang w:eastAsia="en-US"/>
    </w:rPr>
  </w:style>
  <w:style w:type="paragraph" w:styleId="Sommario1">
    <w:name w:val="toc 1"/>
    <w:basedOn w:val="Normale"/>
    <w:next w:val="Normale"/>
    <w:autoRedefine/>
    <w:uiPriority w:val="39"/>
    <w:locked/>
    <w:rsid w:val="0094643A"/>
    <w:pPr>
      <w:spacing w:after="100"/>
    </w:pPr>
  </w:style>
  <w:style w:type="character" w:styleId="Collegamentoipertestuale">
    <w:name w:val="Hyperlink"/>
    <w:basedOn w:val="Carpredefinitoparagrafo"/>
    <w:uiPriority w:val="99"/>
    <w:unhideWhenUsed/>
    <w:rsid w:val="00946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2147">
      <w:bodyDiv w:val="1"/>
      <w:marLeft w:val="0"/>
      <w:marRight w:val="0"/>
      <w:marTop w:val="0"/>
      <w:marBottom w:val="0"/>
      <w:divBdr>
        <w:top w:val="none" w:sz="0" w:space="0" w:color="auto"/>
        <w:left w:val="none" w:sz="0" w:space="0" w:color="auto"/>
        <w:bottom w:val="none" w:sz="0" w:space="0" w:color="auto"/>
        <w:right w:val="none" w:sz="0" w:space="0" w:color="auto"/>
      </w:divBdr>
    </w:div>
    <w:div w:id="2060592671">
      <w:marLeft w:val="0"/>
      <w:marRight w:val="0"/>
      <w:marTop w:val="0"/>
      <w:marBottom w:val="0"/>
      <w:divBdr>
        <w:top w:val="none" w:sz="0" w:space="0" w:color="auto"/>
        <w:left w:val="none" w:sz="0" w:space="0" w:color="auto"/>
        <w:bottom w:val="none" w:sz="0" w:space="0" w:color="auto"/>
        <w:right w:val="none" w:sz="0" w:space="0" w:color="auto"/>
      </w:divBdr>
    </w:div>
    <w:div w:id="2060592673">
      <w:marLeft w:val="0"/>
      <w:marRight w:val="0"/>
      <w:marTop w:val="0"/>
      <w:marBottom w:val="0"/>
      <w:divBdr>
        <w:top w:val="none" w:sz="0" w:space="0" w:color="auto"/>
        <w:left w:val="none" w:sz="0" w:space="0" w:color="auto"/>
        <w:bottom w:val="none" w:sz="0" w:space="0" w:color="auto"/>
        <w:right w:val="none" w:sz="0" w:space="0" w:color="auto"/>
      </w:divBdr>
    </w:div>
    <w:div w:id="2060592674">
      <w:marLeft w:val="0"/>
      <w:marRight w:val="0"/>
      <w:marTop w:val="0"/>
      <w:marBottom w:val="0"/>
      <w:divBdr>
        <w:top w:val="none" w:sz="0" w:space="0" w:color="auto"/>
        <w:left w:val="none" w:sz="0" w:space="0" w:color="auto"/>
        <w:bottom w:val="none" w:sz="0" w:space="0" w:color="auto"/>
        <w:right w:val="none" w:sz="0" w:space="0" w:color="auto"/>
      </w:divBdr>
    </w:div>
    <w:div w:id="2060592676">
      <w:marLeft w:val="0"/>
      <w:marRight w:val="0"/>
      <w:marTop w:val="0"/>
      <w:marBottom w:val="0"/>
      <w:divBdr>
        <w:top w:val="none" w:sz="0" w:space="0" w:color="auto"/>
        <w:left w:val="none" w:sz="0" w:space="0" w:color="auto"/>
        <w:bottom w:val="none" w:sz="0" w:space="0" w:color="auto"/>
        <w:right w:val="none" w:sz="0" w:space="0" w:color="auto"/>
      </w:divBdr>
    </w:div>
    <w:div w:id="2060592677">
      <w:marLeft w:val="0"/>
      <w:marRight w:val="0"/>
      <w:marTop w:val="0"/>
      <w:marBottom w:val="0"/>
      <w:divBdr>
        <w:top w:val="none" w:sz="0" w:space="0" w:color="auto"/>
        <w:left w:val="none" w:sz="0" w:space="0" w:color="auto"/>
        <w:bottom w:val="none" w:sz="0" w:space="0" w:color="auto"/>
        <w:right w:val="none" w:sz="0" w:space="0" w:color="auto"/>
      </w:divBdr>
    </w:div>
    <w:div w:id="2060592678">
      <w:marLeft w:val="0"/>
      <w:marRight w:val="0"/>
      <w:marTop w:val="0"/>
      <w:marBottom w:val="0"/>
      <w:divBdr>
        <w:top w:val="none" w:sz="0" w:space="0" w:color="auto"/>
        <w:left w:val="none" w:sz="0" w:space="0" w:color="auto"/>
        <w:bottom w:val="none" w:sz="0" w:space="0" w:color="auto"/>
        <w:right w:val="none" w:sz="0" w:space="0" w:color="auto"/>
      </w:divBdr>
    </w:div>
    <w:div w:id="2060592679">
      <w:marLeft w:val="0"/>
      <w:marRight w:val="0"/>
      <w:marTop w:val="0"/>
      <w:marBottom w:val="0"/>
      <w:divBdr>
        <w:top w:val="none" w:sz="0" w:space="0" w:color="auto"/>
        <w:left w:val="none" w:sz="0" w:space="0" w:color="auto"/>
        <w:bottom w:val="none" w:sz="0" w:space="0" w:color="auto"/>
        <w:right w:val="none" w:sz="0" w:space="0" w:color="auto"/>
      </w:divBdr>
    </w:div>
    <w:div w:id="2060592680">
      <w:marLeft w:val="0"/>
      <w:marRight w:val="0"/>
      <w:marTop w:val="0"/>
      <w:marBottom w:val="0"/>
      <w:divBdr>
        <w:top w:val="none" w:sz="0" w:space="0" w:color="auto"/>
        <w:left w:val="none" w:sz="0" w:space="0" w:color="auto"/>
        <w:bottom w:val="none" w:sz="0" w:space="0" w:color="auto"/>
        <w:right w:val="none" w:sz="0" w:space="0" w:color="auto"/>
      </w:divBdr>
    </w:div>
    <w:div w:id="2060592681">
      <w:marLeft w:val="0"/>
      <w:marRight w:val="0"/>
      <w:marTop w:val="0"/>
      <w:marBottom w:val="0"/>
      <w:divBdr>
        <w:top w:val="none" w:sz="0" w:space="0" w:color="auto"/>
        <w:left w:val="none" w:sz="0" w:space="0" w:color="auto"/>
        <w:bottom w:val="none" w:sz="0" w:space="0" w:color="auto"/>
        <w:right w:val="none" w:sz="0" w:space="0" w:color="auto"/>
      </w:divBdr>
    </w:div>
    <w:div w:id="2060592682">
      <w:marLeft w:val="0"/>
      <w:marRight w:val="0"/>
      <w:marTop w:val="0"/>
      <w:marBottom w:val="0"/>
      <w:divBdr>
        <w:top w:val="none" w:sz="0" w:space="0" w:color="auto"/>
        <w:left w:val="none" w:sz="0" w:space="0" w:color="auto"/>
        <w:bottom w:val="none" w:sz="0" w:space="0" w:color="auto"/>
        <w:right w:val="none" w:sz="0" w:space="0" w:color="auto"/>
      </w:divBdr>
    </w:div>
    <w:div w:id="2060592683">
      <w:marLeft w:val="0"/>
      <w:marRight w:val="0"/>
      <w:marTop w:val="0"/>
      <w:marBottom w:val="0"/>
      <w:divBdr>
        <w:top w:val="none" w:sz="0" w:space="0" w:color="auto"/>
        <w:left w:val="none" w:sz="0" w:space="0" w:color="auto"/>
        <w:bottom w:val="none" w:sz="0" w:space="0" w:color="auto"/>
        <w:right w:val="none" w:sz="0" w:space="0" w:color="auto"/>
      </w:divBdr>
      <w:divsChild>
        <w:div w:id="2060592672">
          <w:marLeft w:val="0"/>
          <w:marRight w:val="0"/>
          <w:marTop w:val="90"/>
          <w:marBottom w:val="0"/>
          <w:divBdr>
            <w:top w:val="none" w:sz="0" w:space="0" w:color="auto"/>
            <w:left w:val="none" w:sz="0" w:space="0" w:color="auto"/>
            <w:bottom w:val="none" w:sz="0" w:space="0" w:color="auto"/>
            <w:right w:val="none" w:sz="0" w:space="0" w:color="auto"/>
          </w:divBdr>
        </w:div>
        <w:div w:id="2060592675">
          <w:marLeft w:val="0"/>
          <w:marRight w:val="0"/>
          <w:marTop w:val="90"/>
          <w:marBottom w:val="0"/>
          <w:divBdr>
            <w:top w:val="none" w:sz="0" w:space="0" w:color="auto"/>
            <w:left w:val="none" w:sz="0" w:space="0" w:color="auto"/>
            <w:bottom w:val="none" w:sz="0" w:space="0" w:color="auto"/>
            <w:right w:val="none" w:sz="0" w:space="0" w:color="auto"/>
          </w:divBdr>
        </w:div>
      </w:divsChild>
    </w:div>
    <w:div w:id="2060592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emf"/><Relationship Id="rId33"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emf"/><Relationship Id="rId32" Type="http://schemas.openxmlformats.org/officeDocument/2006/relationships/image" Target="media/image23.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B035-8C7C-4281-8CF9-707591FB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20</Pages>
  <Words>5459</Words>
  <Characters>31814</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Zenarolla</dc:creator>
  <cp:lastModifiedBy>Eloisia Goriup</cp:lastModifiedBy>
  <cp:revision>13</cp:revision>
  <cp:lastPrinted>2019-01-09T15:08:00Z</cp:lastPrinted>
  <dcterms:created xsi:type="dcterms:W3CDTF">2019-01-08T13:24:00Z</dcterms:created>
  <dcterms:modified xsi:type="dcterms:W3CDTF">2019-01-09T15:38:00Z</dcterms:modified>
</cp:coreProperties>
</file>