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D1" w:rsidRPr="007A5153" w:rsidRDefault="00A23ED1" w:rsidP="00A23ED1">
      <w:pPr>
        <w:rPr>
          <w:rFonts w:ascii="DecimaWE Rg" w:hAnsi="DecimaWE Rg"/>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23ED1" w:rsidRPr="0061755C" w:rsidTr="00FE2065">
        <w:tc>
          <w:tcPr>
            <w:tcW w:w="9778" w:type="dxa"/>
            <w:shd w:val="clear" w:color="auto" w:fill="auto"/>
          </w:tcPr>
          <w:p w:rsidR="00A23ED1" w:rsidRPr="0061755C" w:rsidRDefault="00A23ED1" w:rsidP="00FE2065">
            <w:pPr>
              <w:overflowPunct w:val="0"/>
              <w:autoSpaceDE w:val="0"/>
              <w:autoSpaceDN w:val="0"/>
              <w:adjustRightInd w:val="0"/>
              <w:textAlignment w:val="baseline"/>
              <w:rPr>
                <w:rFonts w:ascii="DecimaWE Rg" w:hAnsi="DecimaWE Rg"/>
                <w:b/>
              </w:rPr>
            </w:pPr>
          </w:p>
          <w:p w:rsidR="00A23ED1" w:rsidRDefault="00A23ED1" w:rsidP="00FE2065">
            <w:pPr>
              <w:overflowPunct w:val="0"/>
              <w:autoSpaceDE w:val="0"/>
              <w:autoSpaceDN w:val="0"/>
              <w:adjustRightInd w:val="0"/>
              <w:jc w:val="center"/>
              <w:textAlignment w:val="baseline"/>
              <w:rPr>
                <w:rFonts w:ascii="DecimaWE Rg" w:hAnsi="DecimaWE Rg"/>
                <w:b/>
                <w:sz w:val="32"/>
                <w:szCs w:val="32"/>
              </w:rPr>
            </w:pPr>
            <w:r w:rsidRPr="005B18CF">
              <w:rPr>
                <w:rFonts w:ascii="DecimaWE Rg" w:hAnsi="DecimaWE Rg"/>
                <w:b/>
                <w:sz w:val="28"/>
                <w:szCs w:val="28"/>
              </w:rPr>
              <w:t xml:space="preserve">ALLEGATO / </w:t>
            </w:r>
            <w:r w:rsidRPr="005B18CF">
              <w:rPr>
                <w:rFonts w:ascii="DecimaWE Rg" w:hAnsi="DecimaWE Rg"/>
                <w:b/>
                <w:i/>
                <w:sz w:val="28"/>
                <w:szCs w:val="28"/>
              </w:rPr>
              <w:t>PRILOGA</w:t>
            </w:r>
            <w:r w:rsidRPr="0061755C">
              <w:rPr>
                <w:rFonts w:ascii="DecimaWE Rg" w:hAnsi="DecimaWE Rg"/>
                <w:b/>
              </w:rPr>
              <w:t xml:space="preserve"> </w:t>
            </w:r>
            <w:r w:rsidR="005B18CF">
              <w:rPr>
                <w:rFonts w:ascii="DecimaWE Rg" w:hAnsi="DecimaWE Rg"/>
                <w:b/>
                <w:sz w:val="32"/>
                <w:szCs w:val="32"/>
              </w:rPr>
              <w:t>A3</w:t>
            </w:r>
          </w:p>
          <w:p w:rsidR="009C19F2" w:rsidRPr="0061755C" w:rsidRDefault="009C19F2" w:rsidP="00FE2065">
            <w:pPr>
              <w:overflowPunct w:val="0"/>
              <w:autoSpaceDE w:val="0"/>
              <w:autoSpaceDN w:val="0"/>
              <w:adjustRightInd w:val="0"/>
              <w:jc w:val="center"/>
              <w:textAlignment w:val="baseline"/>
              <w:rPr>
                <w:rFonts w:ascii="DecimaWE Rg" w:hAnsi="DecimaWE Rg"/>
                <w:b/>
              </w:rPr>
            </w:pPr>
          </w:p>
          <w:p w:rsidR="00737C85" w:rsidRPr="0025196B" w:rsidRDefault="00737C85" w:rsidP="00737C85">
            <w:pPr>
              <w:pStyle w:val="Paragrafoelenco"/>
              <w:ind w:left="0"/>
              <w:jc w:val="both"/>
              <w:rPr>
                <w:rFonts w:ascii="DecimaWE Rg" w:hAnsi="DecimaWE Rg"/>
                <w:sz w:val="14"/>
                <w:szCs w:val="14"/>
              </w:rPr>
            </w:pPr>
            <w:r w:rsidRPr="0025196B">
              <w:rPr>
                <w:rFonts w:ascii="DecimaWE Rg" w:hAnsi="DecimaWE Rg"/>
                <w:sz w:val="14"/>
                <w:szCs w:val="14"/>
                <w:lang w:val="sl-SI"/>
              </w:rPr>
              <w:t>D</w:t>
            </w:r>
            <w:r w:rsidRPr="0025196B">
              <w:rPr>
                <w:rFonts w:ascii="DecimaWE Rg" w:hAnsi="DecimaWE Rg"/>
                <w:sz w:val="14"/>
                <w:szCs w:val="14"/>
              </w:rPr>
              <w:t xml:space="preserve">a compilare a cura dell’ente proponente, il quale deve essere, ai sensi dell’art. 8, c. 1, del Regolamento, </w:t>
            </w:r>
            <w:r w:rsidRPr="0025196B">
              <w:rPr>
                <w:rFonts w:ascii="DecimaWE Rg" w:hAnsi="DecimaWE Rg"/>
                <w:i/>
                <w:sz w:val="14"/>
                <w:szCs w:val="14"/>
              </w:rPr>
              <w:t xml:space="preserve">un </w:t>
            </w:r>
            <w:r w:rsidRPr="0025196B">
              <w:rPr>
                <w:rFonts w:ascii="DecimaWE Rg" w:hAnsi="DecimaWE Rg"/>
                <w:b/>
                <w:i/>
                <w:sz w:val="14"/>
                <w:szCs w:val="14"/>
              </w:rPr>
              <w:t xml:space="preserve">ente o organizzazione </w:t>
            </w:r>
            <w:r w:rsidRPr="0025196B">
              <w:rPr>
                <w:rFonts w:ascii="DecimaWE Rg" w:hAnsi="DecimaWE Rg"/>
                <w:i/>
                <w:sz w:val="14"/>
                <w:szCs w:val="14"/>
              </w:rPr>
              <w:t xml:space="preserve"> </w:t>
            </w:r>
            <w:r w:rsidRPr="0025196B">
              <w:rPr>
                <w:rFonts w:ascii="DecimaWE Rg" w:hAnsi="DecimaWE Rg"/>
                <w:b/>
                <w:i/>
                <w:sz w:val="14"/>
                <w:szCs w:val="14"/>
              </w:rPr>
              <w:t>minore</w:t>
            </w:r>
            <w:r w:rsidRPr="0025196B">
              <w:rPr>
                <w:rFonts w:ascii="DecimaWE Rg" w:hAnsi="DecimaWE Rg"/>
                <w:i/>
                <w:sz w:val="14"/>
                <w:szCs w:val="14"/>
              </w:rPr>
              <w:t xml:space="preserve"> della minoranza slovena, iscritto all’Albo delle organizzazioni della minoranza slovena di cui all’art. 5 della L.R. 26/2007, che organizza in maniera prevalente </w:t>
            </w:r>
            <w:r w:rsidRPr="0025196B">
              <w:rPr>
                <w:rFonts w:ascii="DecimaWE Rg" w:hAnsi="DecimaWE Rg"/>
                <w:b/>
                <w:i/>
                <w:sz w:val="14"/>
                <w:szCs w:val="14"/>
              </w:rPr>
              <w:t>attività e servizi educativi</w:t>
            </w:r>
            <w:r w:rsidRPr="0025196B">
              <w:rPr>
                <w:rFonts w:ascii="DecimaWE Rg" w:hAnsi="DecimaWE Rg"/>
                <w:i/>
                <w:sz w:val="14"/>
                <w:szCs w:val="14"/>
              </w:rPr>
              <w:t>, quali il funzionamento di doposcuola e centri estivi in lingua slovena, e promuove lo sviluppo degli scambi culturali e delle attività giovanili anche transfrontaliere</w:t>
            </w:r>
            <w:r w:rsidRPr="0025196B">
              <w:rPr>
                <w:rFonts w:ascii="DecimaWE Rg" w:hAnsi="DecimaWE Rg"/>
                <w:sz w:val="14"/>
                <w:szCs w:val="14"/>
              </w:rPr>
              <w:t xml:space="preserve"> (art. 18, c. 9, della L.R. 26/2007).</w:t>
            </w:r>
          </w:p>
          <w:p w:rsidR="00A23ED1" w:rsidRPr="0061755C" w:rsidRDefault="00737C85" w:rsidP="00EF18F0">
            <w:pPr>
              <w:pStyle w:val="Paragrafoelenco"/>
              <w:overflowPunct w:val="0"/>
              <w:autoSpaceDE w:val="0"/>
              <w:autoSpaceDN w:val="0"/>
              <w:adjustRightInd w:val="0"/>
              <w:ind w:left="0"/>
              <w:textAlignment w:val="baseline"/>
              <w:rPr>
                <w:rFonts w:ascii="DecimaWE Rg" w:hAnsi="DecimaWE Rg"/>
                <w:b/>
              </w:rPr>
            </w:pPr>
            <w:r w:rsidRPr="0025196B">
              <w:rPr>
                <w:rFonts w:ascii="DecimaWE Rg" w:hAnsi="DecimaWE Rg"/>
                <w:i/>
                <w:sz w:val="14"/>
                <w:szCs w:val="14"/>
                <w:lang w:val="sl-SI"/>
              </w:rPr>
              <w:t xml:space="preserve">Preglednico izpolni ustanova </w:t>
            </w:r>
            <w:r w:rsidR="00EF18F0" w:rsidRPr="0025196B">
              <w:rPr>
                <w:rFonts w:ascii="DecimaWE Rg" w:hAnsi="DecimaWE Rg"/>
                <w:i/>
                <w:sz w:val="14"/>
                <w:szCs w:val="14"/>
                <w:lang w:val="sl-SI"/>
              </w:rPr>
              <w:t>predlagateljica</w:t>
            </w:r>
            <w:r w:rsidRPr="0025196B">
              <w:rPr>
                <w:rFonts w:ascii="DecimaWE Rg" w:hAnsi="DecimaWE Rg"/>
                <w:i/>
                <w:sz w:val="14"/>
                <w:szCs w:val="14"/>
                <w:lang w:val="sl-SI"/>
              </w:rPr>
              <w:t xml:space="preserve">, ki mora po prvem odstavku 8. člena Pravilnika biti </w:t>
            </w:r>
            <w:r w:rsidRPr="0025196B">
              <w:rPr>
                <w:rFonts w:ascii="DecimaWE Rg" w:hAnsi="DecimaWE Rg"/>
                <w:b/>
                <w:i/>
                <w:sz w:val="14"/>
                <w:szCs w:val="14"/>
                <w:lang w:val="sl-SI"/>
              </w:rPr>
              <w:t>manjša ustanova ali organizacija slovenske manjšine</w:t>
            </w:r>
            <w:r w:rsidRPr="0025196B">
              <w:rPr>
                <w:rFonts w:ascii="DecimaWE Rg" w:hAnsi="DecimaWE Rg"/>
                <w:i/>
                <w:sz w:val="14"/>
                <w:szCs w:val="14"/>
                <w:lang w:val="sl-SI"/>
              </w:rPr>
              <w:t xml:space="preserve">, vpisana v register iz 5. člena D.Z. št. 26/2007, katere delovanje zajema pretežno </w:t>
            </w:r>
            <w:r w:rsidRPr="0025196B">
              <w:rPr>
                <w:rFonts w:ascii="DecimaWE Rg" w:hAnsi="DecimaWE Rg"/>
                <w:b/>
                <w:i/>
                <w:sz w:val="14"/>
                <w:szCs w:val="14"/>
                <w:lang w:val="sl-SI"/>
              </w:rPr>
              <w:t>vzgojno dejavnost in vzgojne storitve</w:t>
            </w:r>
            <w:r w:rsidRPr="0025196B">
              <w:rPr>
                <w:rFonts w:ascii="DecimaWE Rg" w:hAnsi="DecimaWE Rg"/>
                <w:i/>
                <w:sz w:val="14"/>
                <w:szCs w:val="14"/>
                <w:lang w:val="sl-SI"/>
              </w:rPr>
              <w:t>, kakršne so na primer popoldansko varstvo otrok in poletna središča v slovenskem jeziku, ter spodbujanje kulturnih izmenjav in mladinskih dejavnosti tudi na čezmejni ravni (9. odst. 18. čl. D.Z. št. 26/2007).</w:t>
            </w:r>
          </w:p>
        </w:tc>
      </w:tr>
    </w:tbl>
    <w:p w:rsidR="00A23ED1" w:rsidRPr="007A5153" w:rsidRDefault="00A23ED1" w:rsidP="00A23ED1">
      <w:pPr>
        <w:pStyle w:val="Paragrafoelenco"/>
        <w:ind w:left="0"/>
        <w:rPr>
          <w:rFonts w:ascii="DecimaWE Rg" w:hAnsi="DecimaWE Rg"/>
          <w:b/>
        </w:rPr>
      </w:pPr>
    </w:p>
    <w:tbl>
      <w:tblPr>
        <w:tblStyle w:val="Grigliatabella"/>
        <w:tblpPr w:leftFromText="141" w:rightFromText="141" w:vertAnchor="text" w:horzAnchor="margin" w:tblpY="123"/>
        <w:tblW w:w="0" w:type="auto"/>
        <w:tblLook w:val="04A0" w:firstRow="1" w:lastRow="0" w:firstColumn="1" w:lastColumn="0" w:noHBand="0" w:noVBand="1"/>
      </w:tblPr>
      <w:tblGrid>
        <w:gridCol w:w="4889"/>
        <w:gridCol w:w="4889"/>
      </w:tblGrid>
      <w:tr w:rsidR="00737C85" w:rsidTr="00FE2065">
        <w:tc>
          <w:tcPr>
            <w:tcW w:w="4889" w:type="dxa"/>
          </w:tcPr>
          <w:p w:rsidR="00737C85" w:rsidRPr="00787E5E" w:rsidRDefault="00737C85" w:rsidP="00FE2065">
            <w:pPr>
              <w:spacing w:before="60"/>
              <w:jc w:val="both"/>
              <w:rPr>
                <w:rFonts w:ascii="DecimaWE Rg" w:hAnsi="DecimaWE Rg"/>
                <w:b/>
                <w:color w:val="000000"/>
                <w:sz w:val="14"/>
                <w:szCs w:val="14"/>
              </w:rPr>
            </w:pPr>
            <w:r w:rsidRPr="00787E5E">
              <w:rPr>
                <w:rFonts w:ascii="DecimaWE Rg" w:hAnsi="DecimaWE Rg"/>
                <w:b/>
                <w:color w:val="000000"/>
                <w:sz w:val="14"/>
                <w:szCs w:val="14"/>
              </w:rPr>
              <w:t>Riferimento normativo</w:t>
            </w:r>
          </w:p>
        </w:tc>
        <w:tc>
          <w:tcPr>
            <w:tcW w:w="4889" w:type="dxa"/>
          </w:tcPr>
          <w:p w:rsidR="00737C85" w:rsidRPr="00787E5E" w:rsidRDefault="00737C85" w:rsidP="00FE2065">
            <w:pPr>
              <w:spacing w:before="60"/>
              <w:jc w:val="both"/>
              <w:rPr>
                <w:rFonts w:ascii="DecimaWE Rg" w:hAnsi="DecimaWE Rg"/>
                <w:b/>
                <w:i/>
                <w:color w:val="000000"/>
                <w:sz w:val="14"/>
                <w:szCs w:val="14"/>
                <w:lang w:val="sl-SI"/>
              </w:rPr>
            </w:pPr>
            <w:r w:rsidRPr="00787E5E">
              <w:rPr>
                <w:rFonts w:ascii="DecimaWE Rg" w:hAnsi="DecimaWE Rg"/>
                <w:b/>
                <w:i/>
                <w:color w:val="000000"/>
                <w:sz w:val="14"/>
                <w:szCs w:val="14"/>
                <w:lang w:val="sl-SI"/>
              </w:rPr>
              <w:t>Pravna podlaga</w:t>
            </w:r>
            <w:r w:rsidRPr="00787E5E">
              <w:rPr>
                <w:rFonts w:ascii="DecimaWE Rg" w:hAnsi="DecimaWE Rg"/>
                <w:b/>
                <w:color w:val="000000"/>
                <w:sz w:val="14"/>
                <w:szCs w:val="14"/>
                <w:lang w:val="sl-SI"/>
              </w:rPr>
              <w:t>:</w:t>
            </w:r>
          </w:p>
        </w:tc>
      </w:tr>
      <w:tr w:rsidR="00737C85" w:rsidTr="00FE2065">
        <w:tc>
          <w:tcPr>
            <w:tcW w:w="4889" w:type="dxa"/>
          </w:tcPr>
          <w:p w:rsidR="00737C85" w:rsidRPr="00787E5E" w:rsidRDefault="00737C85" w:rsidP="0025196B">
            <w:pPr>
              <w:spacing w:before="60"/>
              <w:jc w:val="both"/>
              <w:rPr>
                <w:rFonts w:ascii="DecimaWE Rg" w:hAnsi="DecimaWE Rg"/>
                <w:color w:val="000000"/>
                <w:sz w:val="14"/>
                <w:szCs w:val="14"/>
              </w:rPr>
            </w:pPr>
            <w:r w:rsidRPr="00787E5E">
              <w:rPr>
                <w:rFonts w:ascii="DecimaWE Rg" w:hAnsi="DecimaWE Rg"/>
                <w:color w:val="000000"/>
                <w:sz w:val="14"/>
                <w:szCs w:val="14"/>
              </w:rPr>
              <w:t xml:space="preserve">Regolamento per la concessione dei contributi a favore di enti e organizzazioni della minoranza linguistica slovena, di cui all’articolo 18, comma 12, della legge regionale 16 novembre 2007, n. 26 (Norme regionali per la tutela della minoranza linguistica slovena), </w:t>
            </w:r>
            <w:r w:rsidRPr="003C7754">
              <w:rPr>
                <w:rFonts w:ascii="DecimaWE Rg" w:hAnsi="DecimaWE Rg"/>
                <w:color w:val="000000"/>
                <w:sz w:val="14"/>
                <w:szCs w:val="14"/>
              </w:rPr>
              <w:t xml:space="preserve"> emanato con DPReg. 246 del 25/11/2015</w:t>
            </w:r>
            <w:r>
              <w:rPr>
                <w:rFonts w:ascii="DecimaWE Rg" w:hAnsi="DecimaWE Rg"/>
                <w:color w:val="000000"/>
                <w:sz w:val="14"/>
                <w:szCs w:val="14"/>
              </w:rPr>
              <w:t xml:space="preserve">, </w:t>
            </w:r>
            <w:r w:rsidRPr="00787E5E">
              <w:rPr>
                <w:rFonts w:ascii="DecimaWE Rg" w:hAnsi="DecimaWE Rg"/>
                <w:color w:val="000000"/>
                <w:sz w:val="14"/>
                <w:szCs w:val="14"/>
              </w:rPr>
              <w:t>qui di seguito denominato Regolamento.</w:t>
            </w:r>
          </w:p>
        </w:tc>
        <w:tc>
          <w:tcPr>
            <w:tcW w:w="4889" w:type="dxa"/>
          </w:tcPr>
          <w:p w:rsidR="00737C85" w:rsidRPr="00787E5E" w:rsidRDefault="00737C85" w:rsidP="00FE2065">
            <w:pPr>
              <w:spacing w:before="60"/>
              <w:jc w:val="both"/>
              <w:rPr>
                <w:rFonts w:ascii="DecimaWE Rg" w:hAnsi="DecimaWE Rg"/>
                <w:color w:val="000000"/>
                <w:sz w:val="14"/>
                <w:szCs w:val="14"/>
                <w:lang w:val="sl-SI"/>
              </w:rPr>
            </w:pPr>
            <w:r w:rsidRPr="00787E5E">
              <w:rPr>
                <w:rFonts w:ascii="DecimaWE Rg" w:hAnsi="DecimaWE Rg"/>
                <w:i/>
                <w:color w:val="000000"/>
                <w:sz w:val="14"/>
                <w:szCs w:val="14"/>
                <w:lang w:val="sl-SI"/>
              </w:rPr>
              <w:t xml:space="preserve">Pravilnik o dodeljevanju prispevkov ustanovam in organizacijam slovenske jezikovne manjšine po dvanajstem odstavku 18. člena deželnega zakona št. 26 z dne 16 novembra 2007 (Deželni predpisi za zaščito </w:t>
            </w:r>
            <w:r w:rsidRPr="000B015B">
              <w:rPr>
                <w:rFonts w:ascii="DecimaWE Rg" w:hAnsi="DecimaWE Rg"/>
                <w:i/>
                <w:color w:val="000000"/>
                <w:sz w:val="14"/>
                <w:szCs w:val="14"/>
                <w:lang w:val="sl-SI"/>
              </w:rPr>
              <w:t>slovenske manjšine), ki je bil izdan z O.P.Dež. št. 246 z dne</w:t>
            </w:r>
            <w:r w:rsidR="009C19F2">
              <w:rPr>
                <w:rFonts w:ascii="DecimaWE Rg" w:hAnsi="DecimaWE Rg"/>
                <w:i/>
                <w:color w:val="000000"/>
                <w:sz w:val="14"/>
                <w:szCs w:val="14"/>
                <w:lang w:val="sl-SI"/>
              </w:rPr>
              <w:t xml:space="preserve"> 25. 11. 2015, v nadaljevanju: P</w:t>
            </w:r>
            <w:r w:rsidRPr="000B015B">
              <w:rPr>
                <w:rFonts w:ascii="DecimaWE Rg" w:hAnsi="DecimaWE Rg"/>
                <w:i/>
                <w:color w:val="000000"/>
                <w:sz w:val="14"/>
                <w:szCs w:val="14"/>
                <w:lang w:val="sl-SI"/>
              </w:rPr>
              <w:t>ravilnik.</w:t>
            </w:r>
          </w:p>
          <w:p w:rsidR="00737C85" w:rsidRPr="00787E5E" w:rsidRDefault="00737C85" w:rsidP="00FE2065">
            <w:pPr>
              <w:spacing w:before="60"/>
              <w:rPr>
                <w:rFonts w:ascii="DecimaWE Rg" w:hAnsi="DecimaWE Rg"/>
                <w:color w:val="000000"/>
                <w:sz w:val="14"/>
                <w:szCs w:val="14"/>
              </w:rPr>
            </w:pPr>
          </w:p>
        </w:tc>
      </w:tr>
    </w:tbl>
    <w:p w:rsidR="00737C85" w:rsidRDefault="00737C85" w:rsidP="00A23ED1">
      <w:pPr>
        <w:pStyle w:val="Paragrafoelenco"/>
        <w:ind w:left="0"/>
        <w:jc w:val="center"/>
        <w:rPr>
          <w:rFonts w:ascii="DecimaWE Rg" w:hAnsi="DecimaWE Rg"/>
          <w:b/>
        </w:rPr>
      </w:pPr>
    </w:p>
    <w:p w:rsidR="00737C85" w:rsidRPr="00BD70AC" w:rsidRDefault="00737C85" w:rsidP="00A23ED1">
      <w:pPr>
        <w:pStyle w:val="Paragrafoelenco"/>
        <w:ind w:left="0"/>
        <w:jc w:val="center"/>
        <w:rPr>
          <w:rFonts w:ascii="DecimaWE Rg" w:hAnsi="DecimaWE Rg"/>
          <w:b/>
          <w:sz w:val="26"/>
          <w:szCs w:val="26"/>
        </w:rPr>
      </w:pPr>
    </w:p>
    <w:p w:rsidR="00A23ED1" w:rsidRPr="00BD70AC" w:rsidRDefault="00A23ED1" w:rsidP="00A23ED1">
      <w:pPr>
        <w:jc w:val="center"/>
        <w:rPr>
          <w:rFonts w:ascii="DecimaWE Rg" w:hAnsi="DecimaWE Rg"/>
          <w:b/>
          <w:sz w:val="26"/>
          <w:szCs w:val="26"/>
        </w:rPr>
      </w:pPr>
      <w:r w:rsidRPr="00BD70AC">
        <w:rPr>
          <w:rFonts w:ascii="DecimaWE Rg" w:hAnsi="DecimaWE Rg"/>
          <w:b/>
          <w:sz w:val="26"/>
          <w:szCs w:val="26"/>
        </w:rPr>
        <w:t>PIANO ECONOMICO-FINANZIARIO</w:t>
      </w:r>
      <w:r w:rsidR="00BD70AC" w:rsidRPr="00BD70AC">
        <w:rPr>
          <w:rFonts w:ascii="DecimaWE Rg" w:hAnsi="DecimaWE Rg"/>
          <w:b/>
          <w:sz w:val="26"/>
          <w:szCs w:val="26"/>
        </w:rPr>
        <w:t xml:space="preserve"> </w:t>
      </w:r>
      <w:r w:rsidRPr="00BD70AC">
        <w:rPr>
          <w:rFonts w:ascii="DecimaWE Rg" w:hAnsi="DecimaWE Rg"/>
          <w:b/>
          <w:sz w:val="26"/>
          <w:szCs w:val="26"/>
        </w:rPr>
        <w:t xml:space="preserve">DELLE ENTRATE E DELLE SPESE </w:t>
      </w:r>
    </w:p>
    <w:p w:rsidR="00A23ED1" w:rsidRPr="00BD70AC" w:rsidRDefault="00A23ED1" w:rsidP="00A23ED1">
      <w:pPr>
        <w:jc w:val="center"/>
        <w:rPr>
          <w:rFonts w:ascii="DecimaWE Rg" w:hAnsi="DecimaWE Rg"/>
          <w:b/>
          <w:sz w:val="26"/>
          <w:szCs w:val="26"/>
        </w:rPr>
      </w:pPr>
      <w:r w:rsidRPr="00BD70AC">
        <w:rPr>
          <w:rFonts w:ascii="DecimaWE Rg" w:hAnsi="DecimaWE Rg"/>
          <w:b/>
          <w:sz w:val="26"/>
          <w:szCs w:val="26"/>
        </w:rPr>
        <w:t>RELATIVE ALL’ATTIVITÀ PROGRAMMATA</w:t>
      </w:r>
      <w:r w:rsidR="00A479E2" w:rsidRPr="00BD70AC">
        <w:rPr>
          <w:rStyle w:val="Rimandonotadichiusura"/>
          <w:rFonts w:ascii="DecimaWE Rg" w:hAnsi="DecimaWE Rg"/>
          <w:b/>
          <w:sz w:val="26"/>
          <w:szCs w:val="26"/>
        </w:rPr>
        <w:endnoteReference w:id="1"/>
      </w:r>
    </w:p>
    <w:p w:rsidR="00BD70AC" w:rsidRDefault="00A23ED1" w:rsidP="00A23ED1">
      <w:pPr>
        <w:jc w:val="center"/>
        <w:rPr>
          <w:rFonts w:ascii="DecimaWE Rg" w:hAnsi="DecimaWE Rg"/>
          <w:b/>
          <w:i/>
          <w:sz w:val="26"/>
          <w:szCs w:val="26"/>
          <w:lang w:val="sl-SI"/>
        </w:rPr>
      </w:pPr>
      <w:r w:rsidRPr="00BD70AC">
        <w:rPr>
          <w:rFonts w:ascii="DecimaWE Rg" w:hAnsi="DecimaWE Rg"/>
          <w:b/>
          <w:i/>
          <w:sz w:val="26"/>
          <w:szCs w:val="26"/>
          <w:lang w:val="sl-SI"/>
        </w:rPr>
        <w:t xml:space="preserve">GOSPODARSKO-FINANČNI NAČRT PRIHODKOV IN ODHODKOV </w:t>
      </w:r>
    </w:p>
    <w:p w:rsidR="00A23ED1" w:rsidRPr="00BD70AC" w:rsidRDefault="00A23ED1" w:rsidP="00A23ED1">
      <w:pPr>
        <w:jc w:val="center"/>
        <w:rPr>
          <w:rFonts w:ascii="DecimaWE Rg" w:hAnsi="DecimaWE Rg"/>
          <w:b/>
          <w:i/>
          <w:sz w:val="26"/>
          <w:szCs w:val="26"/>
          <w:lang w:val="sl-SI"/>
        </w:rPr>
      </w:pPr>
      <w:r w:rsidRPr="00BD70AC">
        <w:rPr>
          <w:rFonts w:ascii="DecimaWE Rg" w:hAnsi="DecimaWE Rg"/>
          <w:b/>
          <w:i/>
          <w:sz w:val="26"/>
          <w:szCs w:val="26"/>
          <w:lang w:val="sl-SI"/>
        </w:rPr>
        <w:t>NAČRTOVANE DEJAVNOSTI</w:t>
      </w:r>
      <w:r w:rsidR="00A479E2" w:rsidRPr="00BD70AC">
        <w:rPr>
          <w:rStyle w:val="Rimandonotadichiusura"/>
          <w:rFonts w:ascii="DecimaWE Rg" w:hAnsi="DecimaWE Rg"/>
          <w:b/>
          <w:i/>
          <w:sz w:val="26"/>
          <w:szCs w:val="26"/>
          <w:lang w:val="sl-SI"/>
        </w:rPr>
        <w:endnoteReference w:id="2"/>
      </w:r>
    </w:p>
    <w:p w:rsidR="00AF5972" w:rsidRDefault="00AF5972" w:rsidP="00A23ED1">
      <w:pPr>
        <w:jc w:val="center"/>
        <w:rPr>
          <w:rFonts w:ascii="DecimaWE Rg" w:hAnsi="DecimaWE Rg"/>
          <w:b/>
          <w:i/>
          <w:lang w:val="sl-SI"/>
        </w:rPr>
      </w:pPr>
    </w:p>
    <w:p w:rsidR="00850E2C" w:rsidRDefault="00850E2C" w:rsidP="00A23ED1">
      <w:pPr>
        <w:jc w:val="center"/>
        <w:rPr>
          <w:rFonts w:ascii="DecimaWE Rg" w:hAnsi="DecimaWE Rg"/>
          <w:b/>
          <w:i/>
          <w:lang w:val="sl-SI"/>
        </w:rPr>
      </w:pPr>
    </w:p>
    <w:p w:rsidR="00850E2C" w:rsidRDefault="00C069BD" w:rsidP="00850E2C">
      <w:pPr>
        <w:pStyle w:val="Standard"/>
        <w:widowControl/>
        <w:ind w:left="0"/>
        <w:rPr>
          <w:rFonts w:ascii="DecimaWE Rg" w:eastAsia="Times New Roman" w:hAnsi="DecimaWE Rg" w:cs="Times New Roman"/>
          <w:kern w:val="0"/>
          <w:sz w:val="16"/>
          <w:szCs w:val="16"/>
          <w:lang w:val="it-IT" w:eastAsia="it-IT" w:bidi="ar-SA"/>
        </w:rPr>
      </w:pPr>
      <w:r>
        <w:rPr>
          <w:rFonts w:ascii="DecimaWE Rg" w:eastAsia="Times New Roman" w:hAnsi="DecimaWE Rg" w:cs="Times New Roman"/>
          <w:kern w:val="0"/>
          <w:sz w:val="16"/>
          <w:szCs w:val="16"/>
          <w:lang w:eastAsia="it-IT" w:bidi="ar-SA"/>
        </w:rPr>
        <w:t xml:space="preserve">Allegare </w:t>
      </w:r>
      <w:r>
        <w:rPr>
          <w:rFonts w:ascii="DecimaWE Rg" w:eastAsia="Times New Roman" w:hAnsi="DecimaWE Rg" w:cs="Times New Roman"/>
          <w:kern w:val="0"/>
          <w:sz w:val="16"/>
          <w:szCs w:val="16"/>
          <w:lang w:val="it-IT" w:eastAsia="it-IT" w:bidi="ar-SA"/>
        </w:rPr>
        <w:t>o inserire nel riquadro sottostante un</w:t>
      </w:r>
      <w:r w:rsidR="00850E2C" w:rsidRPr="00737C85">
        <w:rPr>
          <w:rFonts w:ascii="DecimaWE Rg" w:eastAsia="Times New Roman" w:hAnsi="DecimaWE Rg" w:cs="Times New Roman"/>
          <w:kern w:val="0"/>
          <w:sz w:val="16"/>
          <w:szCs w:val="16"/>
          <w:lang w:val="it-IT" w:eastAsia="it-IT" w:bidi="ar-SA"/>
        </w:rPr>
        <w:t xml:space="preserve"> piano economico-finanziario delle </w:t>
      </w:r>
      <w:r w:rsidR="00850E2C" w:rsidRPr="00DF0FD0">
        <w:rPr>
          <w:rFonts w:ascii="DecimaWE Rg" w:eastAsia="Times New Roman" w:hAnsi="DecimaWE Rg" w:cs="Times New Roman"/>
          <w:b/>
          <w:kern w:val="0"/>
          <w:sz w:val="16"/>
          <w:szCs w:val="16"/>
          <w:lang w:val="it-IT" w:eastAsia="it-IT" w:bidi="ar-SA"/>
        </w:rPr>
        <w:t>entrate e delle spese</w:t>
      </w:r>
      <w:r w:rsidR="00850E2C" w:rsidRPr="00737C85">
        <w:rPr>
          <w:rFonts w:ascii="DecimaWE Rg" w:eastAsia="Times New Roman" w:hAnsi="DecimaWE Rg" w:cs="Times New Roman"/>
          <w:kern w:val="0"/>
          <w:sz w:val="16"/>
          <w:szCs w:val="16"/>
          <w:lang w:val="it-IT" w:eastAsia="it-IT" w:bidi="ar-SA"/>
        </w:rPr>
        <w:t xml:space="preserve"> relative all’attività progr</w:t>
      </w:r>
      <w:r>
        <w:rPr>
          <w:rFonts w:ascii="DecimaWE Rg" w:eastAsia="Times New Roman" w:hAnsi="DecimaWE Rg" w:cs="Times New Roman"/>
          <w:kern w:val="0"/>
          <w:sz w:val="16"/>
          <w:szCs w:val="16"/>
          <w:lang w:val="it-IT" w:eastAsia="it-IT" w:bidi="ar-SA"/>
        </w:rPr>
        <w:t xml:space="preserve">ammata. </w:t>
      </w:r>
      <w:r w:rsidRPr="00737C85">
        <w:rPr>
          <w:rFonts w:ascii="DecimaWE Rg" w:eastAsia="Times New Roman" w:hAnsi="DecimaWE Rg" w:cs="Times New Roman"/>
          <w:kern w:val="0"/>
          <w:sz w:val="16"/>
          <w:szCs w:val="16"/>
          <w:lang w:val="it-IT" w:eastAsia="it-IT" w:bidi="ar-SA"/>
        </w:rPr>
        <w:t>Al fine della redazione</w:t>
      </w:r>
      <w:r>
        <w:rPr>
          <w:rFonts w:ascii="DecimaWE Rg" w:eastAsia="Times New Roman" w:hAnsi="DecimaWE Rg" w:cs="Times New Roman"/>
          <w:kern w:val="0"/>
          <w:sz w:val="16"/>
          <w:szCs w:val="16"/>
          <w:lang w:val="it-IT" w:eastAsia="it-IT" w:bidi="ar-SA"/>
        </w:rPr>
        <w:t xml:space="preserve"> dello stesso</w:t>
      </w:r>
      <w:r w:rsidRPr="00737C85">
        <w:rPr>
          <w:rFonts w:ascii="DecimaWE Rg" w:eastAsia="Times New Roman" w:hAnsi="DecimaWE Rg" w:cs="Times New Roman"/>
          <w:kern w:val="0"/>
          <w:sz w:val="16"/>
          <w:szCs w:val="16"/>
          <w:lang w:val="it-IT" w:eastAsia="it-IT" w:bidi="ar-SA"/>
        </w:rPr>
        <w:t xml:space="preserve"> </w:t>
      </w:r>
      <w:r w:rsidR="00850E2C">
        <w:rPr>
          <w:rFonts w:ascii="DecimaWE Rg" w:eastAsia="Times New Roman" w:hAnsi="DecimaWE Rg" w:cs="Times New Roman"/>
          <w:kern w:val="0"/>
          <w:sz w:val="16"/>
          <w:szCs w:val="16"/>
          <w:lang w:val="it-IT" w:eastAsia="it-IT" w:bidi="ar-SA"/>
        </w:rPr>
        <w:t xml:space="preserve">si ricorda che l’art. 9 </w:t>
      </w:r>
      <w:r w:rsidR="00850E2C" w:rsidRPr="00737C85">
        <w:rPr>
          <w:rFonts w:ascii="DecimaWE Rg" w:eastAsia="Times New Roman" w:hAnsi="DecimaWE Rg" w:cs="Times New Roman"/>
          <w:kern w:val="0"/>
          <w:sz w:val="16"/>
          <w:szCs w:val="16"/>
          <w:lang w:val="it-IT" w:eastAsia="it-IT" w:bidi="ar-SA"/>
        </w:rPr>
        <w:t>del Regolamento prevede che il contributo sia concesso fino all’intero importo della spesa ammissibile, fino ad u</w:t>
      </w:r>
      <w:r w:rsidR="00850E2C">
        <w:rPr>
          <w:rFonts w:ascii="DecimaWE Rg" w:eastAsia="Times New Roman" w:hAnsi="DecimaWE Rg" w:cs="Times New Roman"/>
          <w:kern w:val="0"/>
          <w:sz w:val="16"/>
          <w:szCs w:val="16"/>
          <w:lang w:val="it-IT" w:eastAsia="it-IT" w:bidi="ar-SA"/>
        </w:rPr>
        <w:t xml:space="preserve">n massimo di euro 10.000,00 </w:t>
      </w:r>
      <w:r w:rsidR="00850E2C" w:rsidRPr="00737C85">
        <w:rPr>
          <w:rFonts w:ascii="DecimaWE Rg" w:eastAsia="Times New Roman" w:hAnsi="DecimaWE Rg" w:cs="Times New Roman"/>
          <w:kern w:val="0"/>
          <w:sz w:val="16"/>
          <w:szCs w:val="16"/>
          <w:lang w:val="it-IT" w:eastAsia="it-IT" w:bidi="ar-SA"/>
        </w:rPr>
        <w:t>se il programma di attività è presentato da una singola orga</w:t>
      </w:r>
      <w:r w:rsidR="00850E2C">
        <w:rPr>
          <w:rFonts w:ascii="DecimaWE Rg" w:eastAsia="Times New Roman" w:hAnsi="DecimaWE Rg" w:cs="Times New Roman"/>
          <w:kern w:val="0"/>
          <w:sz w:val="16"/>
          <w:szCs w:val="16"/>
          <w:lang w:val="it-IT" w:eastAsia="it-IT" w:bidi="ar-SA"/>
        </w:rPr>
        <w:t xml:space="preserve">nizzazione e di euro 30.000,00 </w:t>
      </w:r>
      <w:r w:rsidR="00850E2C" w:rsidRPr="00737C85">
        <w:rPr>
          <w:rFonts w:ascii="DecimaWE Rg" w:eastAsia="Times New Roman" w:hAnsi="DecimaWE Rg" w:cs="Times New Roman"/>
          <w:kern w:val="0"/>
          <w:sz w:val="16"/>
          <w:szCs w:val="16"/>
          <w:lang w:val="it-IT" w:eastAsia="it-IT" w:bidi="ar-SA"/>
        </w:rPr>
        <w:t xml:space="preserve">se realizzato congiuntamente da due o più organizzazioni, nell'ambito di un rapporto di partenariato. </w:t>
      </w:r>
    </w:p>
    <w:p w:rsidR="00850E2C" w:rsidRPr="00737C85" w:rsidRDefault="00850E2C" w:rsidP="00850E2C">
      <w:pPr>
        <w:pStyle w:val="Standard"/>
        <w:widowControl/>
        <w:ind w:left="0"/>
        <w:rPr>
          <w:rFonts w:ascii="DecimaWE Rg" w:eastAsia="Times New Roman" w:hAnsi="DecimaWE Rg" w:cs="Times New Roman"/>
          <w:kern w:val="0"/>
          <w:sz w:val="16"/>
          <w:szCs w:val="16"/>
          <w:lang w:val="it-IT" w:eastAsia="it-IT" w:bidi="ar-SA"/>
        </w:rPr>
      </w:pPr>
      <w:r>
        <w:rPr>
          <w:rFonts w:ascii="DecimaWE Rg" w:eastAsia="Times New Roman" w:hAnsi="DecimaWE Rg" w:cs="Times New Roman"/>
          <w:kern w:val="0"/>
          <w:sz w:val="16"/>
          <w:szCs w:val="16"/>
          <w:lang w:val="it-IT" w:eastAsia="it-IT" w:bidi="ar-SA"/>
        </w:rPr>
        <w:t>Lo stesso articolo prevede inoltre che siano</w:t>
      </w:r>
      <w:r w:rsidRPr="00737C85">
        <w:rPr>
          <w:rFonts w:ascii="DecimaWE Rg" w:eastAsia="Times New Roman" w:hAnsi="DecimaWE Rg" w:cs="Times New Roman"/>
          <w:kern w:val="0"/>
          <w:sz w:val="16"/>
          <w:szCs w:val="16"/>
          <w:lang w:val="it-IT" w:eastAsia="it-IT" w:bidi="ar-SA"/>
        </w:rPr>
        <w:t xml:space="preserve"> ammissibili le spese direttamente imputabili allo svolgimento di attività e servizi educativi quali il funzionamento di doposcuola e centri estivi in lingua slovena e allo sviluppo di scambi culturali e attività giovanili anche transfrontaliere.</w:t>
      </w:r>
    </w:p>
    <w:p w:rsidR="00850E2C" w:rsidRDefault="00850E2C" w:rsidP="00850E2C">
      <w:pPr>
        <w:pStyle w:val="Standard"/>
        <w:widowControl/>
        <w:tabs>
          <w:tab w:val="left" w:pos="426"/>
          <w:tab w:val="left" w:pos="568"/>
        </w:tabs>
        <w:ind w:left="0" w:right="126"/>
        <w:rPr>
          <w:rFonts w:ascii="DecimaWE Rg" w:eastAsia="Times New Roman" w:hAnsi="DecimaWE Rg" w:cs="Times New Roman"/>
          <w:kern w:val="0"/>
          <w:sz w:val="16"/>
          <w:szCs w:val="16"/>
          <w:lang w:val="it-IT" w:eastAsia="it-IT" w:bidi="ar-SA"/>
        </w:rPr>
      </w:pPr>
      <w:r>
        <w:rPr>
          <w:rFonts w:ascii="DecimaWE Rg" w:eastAsia="Times New Roman" w:hAnsi="DecimaWE Rg" w:cs="Times New Roman"/>
          <w:kern w:val="0"/>
          <w:sz w:val="16"/>
          <w:szCs w:val="16"/>
          <w:lang w:val="it-IT" w:eastAsia="it-IT" w:bidi="ar-SA"/>
        </w:rPr>
        <w:t>T</w:t>
      </w:r>
      <w:r w:rsidRPr="00737C85">
        <w:rPr>
          <w:rFonts w:ascii="DecimaWE Rg" w:eastAsia="Times New Roman" w:hAnsi="DecimaWE Rg" w:cs="Times New Roman"/>
          <w:kern w:val="0"/>
          <w:sz w:val="16"/>
          <w:szCs w:val="16"/>
          <w:lang w:val="it-IT" w:eastAsia="it-IT" w:bidi="ar-SA"/>
        </w:rPr>
        <w:t xml:space="preserve">ra le </w:t>
      </w:r>
      <w:r w:rsidRPr="00737C85">
        <w:rPr>
          <w:rFonts w:ascii="DecimaWE Rg" w:eastAsia="Times New Roman" w:hAnsi="DecimaWE Rg" w:cs="Times New Roman"/>
          <w:b/>
          <w:kern w:val="0"/>
          <w:sz w:val="16"/>
          <w:szCs w:val="16"/>
          <w:lang w:val="it-IT" w:eastAsia="it-IT" w:bidi="ar-SA"/>
        </w:rPr>
        <w:t>spese ammissibili</w:t>
      </w:r>
      <w:r w:rsidRPr="00737C85">
        <w:rPr>
          <w:rFonts w:ascii="DecimaWE Rg" w:eastAsia="Times New Roman" w:hAnsi="DecimaWE Rg" w:cs="Times New Roman"/>
          <w:kern w:val="0"/>
          <w:sz w:val="16"/>
          <w:szCs w:val="16"/>
          <w:lang w:val="it-IT" w:eastAsia="it-IT" w:bidi="ar-SA"/>
        </w:rPr>
        <w:t xml:space="preserve"> </w:t>
      </w:r>
      <w:r>
        <w:rPr>
          <w:rFonts w:ascii="DecimaWE Rg" w:eastAsia="Times New Roman" w:hAnsi="DecimaWE Rg" w:cs="Times New Roman"/>
          <w:kern w:val="0"/>
          <w:sz w:val="16"/>
          <w:szCs w:val="16"/>
          <w:lang w:val="it-IT" w:eastAsia="it-IT" w:bidi="ar-SA"/>
        </w:rPr>
        <w:t>r</w:t>
      </w:r>
      <w:r w:rsidRPr="00737C85">
        <w:rPr>
          <w:rFonts w:ascii="DecimaWE Rg" w:eastAsia="Times New Roman" w:hAnsi="DecimaWE Rg" w:cs="Times New Roman"/>
          <w:kern w:val="0"/>
          <w:sz w:val="16"/>
          <w:szCs w:val="16"/>
          <w:lang w:val="it-IT" w:eastAsia="it-IT" w:bidi="ar-SA"/>
        </w:rPr>
        <w:t>ientrano in particolare</w:t>
      </w:r>
      <w:r>
        <w:rPr>
          <w:rFonts w:ascii="DecimaWE Rg" w:eastAsia="Times New Roman" w:hAnsi="DecimaWE Rg" w:cs="Times New Roman"/>
          <w:kern w:val="0"/>
          <w:sz w:val="16"/>
          <w:szCs w:val="16"/>
          <w:lang w:val="it-IT" w:eastAsia="it-IT" w:bidi="ar-SA"/>
        </w:rPr>
        <w:t>, ai sensi del citato articolo,</w:t>
      </w:r>
      <w:r w:rsidRPr="00737C85">
        <w:rPr>
          <w:rFonts w:ascii="DecimaWE Rg" w:eastAsia="Times New Roman" w:hAnsi="DecimaWE Rg" w:cs="Times New Roman"/>
          <w:kern w:val="0"/>
          <w:sz w:val="16"/>
          <w:szCs w:val="16"/>
          <w:lang w:val="it-IT" w:eastAsia="it-IT" w:bidi="ar-SA"/>
        </w:rPr>
        <w:t xml:space="preserve"> le tipologie di spesa</w:t>
      </w:r>
      <w:r>
        <w:rPr>
          <w:rFonts w:ascii="DecimaWE Rg" w:eastAsia="Times New Roman" w:hAnsi="DecimaWE Rg" w:cs="Times New Roman"/>
          <w:kern w:val="0"/>
          <w:sz w:val="16"/>
          <w:szCs w:val="16"/>
          <w:lang w:val="it-IT" w:eastAsia="it-IT" w:bidi="ar-SA"/>
        </w:rPr>
        <w:t xml:space="preserve"> qui di seguito elencate</w:t>
      </w:r>
      <w:r w:rsidRPr="00737C85">
        <w:rPr>
          <w:rFonts w:ascii="DecimaWE Rg" w:eastAsia="Times New Roman" w:hAnsi="DecimaWE Rg" w:cs="Times New Roman"/>
          <w:kern w:val="0"/>
          <w:sz w:val="16"/>
          <w:szCs w:val="16"/>
          <w:lang w:val="it-IT" w:eastAsia="it-IT" w:bidi="ar-SA"/>
        </w:rPr>
        <w:t>, comprensive dell’Iva nella misura in cui non sia definitiva</w:t>
      </w:r>
      <w:r>
        <w:rPr>
          <w:rFonts w:ascii="DecimaWE Rg" w:eastAsia="Times New Roman" w:hAnsi="DecimaWE Rg" w:cs="Times New Roman"/>
          <w:kern w:val="0"/>
          <w:sz w:val="16"/>
          <w:szCs w:val="16"/>
          <w:lang w:val="it-IT" w:eastAsia="it-IT" w:bidi="ar-SA"/>
        </w:rPr>
        <w:t>mente recuperata o recuperabile.</w:t>
      </w:r>
    </w:p>
    <w:p w:rsidR="00850E2C" w:rsidRDefault="00850E2C" w:rsidP="00850E2C">
      <w:pPr>
        <w:pStyle w:val="Standard"/>
        <w:widowControl/>
        <w:tabs>
          <w:tab w:val="left" w:pos="426"/>
          <w:tab w:val="left" w:pos="568"/>
        </w:tabs>
        <w:ind w:left="0" w:right="126"/>
        <w:rPr>
          <w:rFonts w:ascii="DecimaWE Rg" w:eastAsia="Times New Roman" w:hAnsi="DecimaWE Rg" w:cs="Times New Roman"/>
          <w:kern w:val="0"/>
          <w:sz w:val="16"/>
          <w:szCs w:val="16"/>
          <w:lang w:val="it-IT" w:eastAsia="it-IT" w:bidi="ar-SA"/>
        </w:rPr>
      </w:pPr>
    </w:p>
    <w:p w:rsidR="00850E2C" w:rsidRPr="00F2348F" w:rsidRDefault="00C069BD" w:rsidP="00850E2C">
      <w:pPr>
        <w:pStyle w:val="Standard"/>
        <w:widowControl/>
        <w:ind w:left="0"/>
        <w:rPr>
          <w:rFonts w:ascii="DecimaWE Rg" w:eastAsia="Times New Roman" w:hAnsi="DecimaWE Rg" w:cs="Times New Roman"/>
          <w:i/>
          <w:kern w:val="0"/>
          <w:sz w:val="16"/>
          <w:szCs w:val="16"/>
          <w:lang w:eastAsia="it-IT" w:bidi="ar-SA"/>
        </w:rPr>
      </w:pPr>
      <w:r>
        <w:rPr>
          <w:rFonts w:ascii="DecimaWE Rg" w:eastAsia="Times New Roman" w:hAnsi="DecimaWE Rg" w:cs="Times New Roman"/>
          <w:i/>
          <w:kern w:val="0"/>
          <w:sz w:val="16"/>
          <w:szCs w:val="16"/>
          <w:lang w:eastAsia="it-IT" w:bidi="ar-SA"/>
        </w:rPr>
        <w:t>Priložite ali vnesite v spodnji razdelek</w:t>
      </w:r>
      <w:r w:rsidR="00850E2C" w:rsidRPr="00F2348F">
        <w:rPr>
          <w:rFonts w:ascii="DecimaWE Rg" w:eastAsia="Times New Roman" w:hAnsi="DecimaWE Rg" w:cs="Times New Roman"/>
          <w:i/>
          <w:kern w:val="0"/>
          <w:sz w:val="16"/>
          <w:szCs w:val="16"/>
          <w:lang w:eastAsia="it-IT" w:bidi="ar-SA"/>
        </w:rPr>
        <w:t xml:space="preserve"> gospodarsko-finančn</w:t>
      </w:r>
      <w:r>
        <w:rPr>
          <w:rFonts w:ascii="DecimaWE Rg" w:eastAsia="Times New Roman" w:hAnsi="DecimaWE Rg" w:cs="Times New Roman"/>
          <w:i/>
          <w:kern w:val="0"/>
          <w:sz w:val="16"/>
          <w:szCs w:val="16"/>
          <w:lang w:eastAsia="it-IT" w:bidi="ar-SA"/>
        </w:rPr>
        <w:t>i načrt</w:t>
      </w:r>
      <w:r w:rsidR="00850E2C" w:rsidRPr="00F2348F">
        <w:rPr>
          <w:rFonts w:ascii="DecimaWE Rg" w:eastAsia="Times New Roman" w:hAnsi="DecimaWE Rg" w:cs="Times New Roman"/>
          <w:i/>
          <w:kern w:val="0"/>
          <w:sz w:val="16"/>
          <w:szCs w:val="16"/>
          <w:lang w:eastAsia="it-IT" w:bidi="ar-SA"/>
        </w:rPr>
        <w:t xml:space="preserve"> </w:t>
      </w:r>
      <w:r w:rsidR="00850E2C" w:rsidRPr="00DF0FD0">
        <w:rPr>
          <w:rFonts w:ascii="DecimaWE Rg" w:eastAsia="Times New Roman" w:hAnsi="DecimaWE Rg" w:cs="Times New Roman"/>
          <w:b/>
          <w:i/>
          <w:kern w:val="0"/>
          <w:sz w:val="16"/>
          <w:szCs w:val="16"/>
          <w:lang w:eastAsia="it-IT" w:bidi="ar-SA"/>
        </w:rPr>
        <w:t>prihodkov in odhodkov</w:t>
      </w:r>
      <w:r w:rsidR="00850E2C" w:rsidRPr="00F2348F">
        <w:rPr>
          <w:rFonts w:ascii="DecimaWE Rg" w:eastAsia="Times New Roman" w:hAnsi="DecimaWE Rg" w:cs="Times New Roman"/>
          <w:i/>
          <w:kern w:val="0"/>
          <w:sz w:val="16"/>
          <w:szCs w:val="16"/>
          <w:lang w:eastAsia="it-IT" w:bidi="ar-SA"/>
        </w:rPr>
        <w:t xml:space="preserve"> načrtovane dejavnosti</w:t>
      </w:r>
      <w:r>
        <w:rPr>
          <w:rFonts w:ascii="DecimaWE Rg" w:eastAsia="Times New Roman" w:hAnsi="DecimaWE Rg" w:cs="Times New Roman"/>
          <w:i/>
          <w:kern w:val="0"/>
          <w:sz w:val="16"/>
          <w:szCs w:val="16"/>
          <w:lang w:eastAsia="it-IT" w:bidi="ar-SA"/>
        </w:rPr>
        <w:t>.</w:t>
      </w:r>
      <w:r w:rsidR="00850E2C" w:rsidRPr="00F2348F">
        <w:rPr>
          <w:rFonts w:ascii="DecimaWE Rg" w:eastAsia="Times New Roman" w:hAnsi="DecimaWE Rg" w:cs="Times New Roman"/>
          <w:i/>
          <w:kern w:val="0"/>
          <w:sz w:val="16"/>
          <w:szCs w:val="16"/>
          <w:lang w:eastAsia="it-IT" w:bidi="ar-SA"/>
        </w:rPr>
        <w:t xml:space="preserve"> </w:t>
      </w:r>
      <w:r w:rsidRPr="00F2348F">
        <w:rPr>
          <w:rFonts w:ascii="DecimaWE Rg" w:eastAsia="Times New Roman" w:hAnsi="DecimaWE Rg" w:cs="Times New Roman"/>
          <w:i/>
          <w:kern w:val="0"/>
          <w:sz w:val="16"/>
          <w:szCs w:val="16"/>
          <w:lang w:eastAsia="it-IT" w:bidi="ar-SA"/>
        </w:rPr>
        <w:t xml:space="preserve">Za namene </w:t>
      </w:r>
      <w:r>
        <w:rPr>
          <w:rFonts w:ascii="DecimaWE Rg" w:eastAsia="Times New Roman" w:hAnsi="DecimaWE Rg" w:cs="Times New Roman"/>
          <w:i/>
          <w:kern w:val="0"/>
          <w:sz w:val="16"/>
          <w:szCs w:val="16"/>
          <w:lang w:eastAsia="it-IT" w:bidi="ar-SA"/>
        </w:rPr>
        <w:t xml:space="preserve">njegove </w:t>
      </w:r>
      <w:r w:rsidRPr="00F2348F">
        <w:rPr>
          <w:rFonts w:ascii="DecimaWE Rg" w:eastAsia="Times New Roman" w:hAnsi="DecimaWE Rg" w:cs="Times New Roman"/>
          <w:i/>
          <w:kern w:val="0"/>
          <w:sz w:val="16"/>
          <w:szCs w:val="16"/>
          <w:lang w:eastAsia="it-IT" w:bidi="ar-SA"/>
        </w:rPr>
        <w:t xml:space="preserve">sestave </w:t>
      </w:r>
      <w:r>
        <w:rPr>
          <w:rFonts w:ascii="DecimaWE Rg" w:eastAsia="Times New Roman" w:hAnsi="DecimaWE Rg" w:cs="Times New Roman"/>
          <w:i/>
          <w:kern w:val="0"/>
          <w:sz w:val="16"/>
          <w:szCs w:val="16"/>
          <w:lang w:eastAsia="it-IT" w:bidi="ar-SA"/>
        </w:rPr>
        <w:t>opozarjamo</w:t>
      </w:r>
      <w:r w:rsidR="00850E2C" w:rsidRPr="00F2348F">
        <w:rPr>
          <w:rFonts w:ascii="DecimaWE Rg" w:eastAsia="Times New Roman" w:hAnsi="DecimaWE Rg" w:cs="Times New Roman"/>
          <w:i/>
          <w:kern w:val="0"/>
          <w:sz w:val="16"/>
          <w:szCs w:val="16"/>
          <w:lang w:eastAsia="it-IT" w:bidi="ar-SA"/>
        </w:rPr>
        <w:t>, da</w:t>
      </w:r>
      <w:r w:rsidR="00850E2C">
        <w:rPr>
          <w:rFonts w:ascii="DecimaWE Rg" w:eastAsia="Times New Roman" w:hAnsi="DecimaWE Rg" w:cs="Times New Roman"/>
          <w:i/>
          <w:kern w:val="0"/>
          <w:sz w:val="16"/>
          <w:szCs w:val="16"/>
          <w:lang w:eastAsia="it-IT" w:bidi="ar-SA"/>
        </w:rPr>
        <w:t xml:space="preserve"> </w:t>
      </w:r>
      <w:r w:rsidR="00850E2C" w:rsidRPr="00F2348F">
        <w:rPr>
          <w:rFonts w:ascii="DecimaWE Rg" w:eastAsia="Times New Roman" w:hAnsi="DecimaWE Rg" w:cs="Times New Roman"/>
          <w:i/>
          <w:kern w:val="0"/>
          <w:sz w:val="16"/>
          <w:szCs w:val="16"/>
          <w:lang w:eastAsia="it-IT" w:bidi="ar-SA"/>
        </w:rPr>
        <w:t xml:space="preserve">se </w:t>
      </w:r>
      <w:r w:rsidR="00850E2C">
        <w:rPr>
          <w:rFonts w:ascii="DecimaWE Rg" w:eastAsia="Times New Roman" w:hAnsi="DecimaWE Rg" w:cs="Times New Roman"/>
          <w:i/>
          <w:kern w:val="0"/>
          <w:sz w:val="16"/>
          <w:szCs w:val="16"/>
          <w:lang w:eastAsia="it-IT" w:bidi="ar-SA"/>
        </w:rPr>
        <w:t xml:space="preserve">po 9. členu Pravilnika </w:t>
      </w:r>
      <w:r w:rsidR="00850E2C" w:rsidRPr="00F2348F">
        <w:rPr>
          <w:rFonts w:ascii="DecimaWE Rg" w:eastAsia="Times New Roman" w:hAnsi="DecimaWE Rg" w:cs="Times New Roman"/>
          <w:i/>
          <w:kern w:val="0"/>
          <w:sz w:val="16"/>
          <w:szCs w:val="16"/>
          <w:lang w:eastAsia="it-IT" w:bidi="ar-SA"/>
        </w:rPr>
        <w:t>prispevek odobri do celotnega zneska upravičenih stroškov</w:t>
      </w:r>
      <w:r w:rsidR="00850E2C">
        <w:rPr>
          <w:rFonts w:ascii="DecimaWE Rg" w:eastAsia="Times New Roman" w:hAnsi="DecimaWE Rg" w:cs="Times New Roman"/>
          <w:i/>
          <w:kern w:val="0"/>
          <w:sz w:val="16"/>
          <w:szCs w:val="16"/>
          <w:lang w:eastAsia="it-IT" w:bidi="ar-SA"/>
        </w:rPr>
        <w:t xml:space="preserve">, in sicer do največ 10.000,00 </w:t>
      </w:r>
      <w:r w:rsidR="00850E2C" w:rsidRPr="00F2348F">
        <w:rPr>
          <w:rFonts w:ascii="DecimaWE Rg" w:eastAsia="Times New Roman" w:hAnsi="DecimaWE Rg" w:cs="Times New Roman"/>
          <w:i/>
          <w:kern w:val="0"/>
          <w:sz w:val="16"/>
          <w:szCs w:val="16"/>
          <w:lang w:eastAsia="it-IT" w:bidi="ar-SA"/>
        </w:rPr>
        <w:t>evrov, če predstavi program dejavnosti ena sama organizacija, in 3</w:t>
      </w:r>
      <w:r w:rsidR="00850E2C">
        <w:rPr>
          <w:rFonts w:ascii="DecimaWE Rg" w:eastAsia="Times New Roman" w:hAnsi="DecimaWE Rg" w:cs="Times New Roman"/>
          <w:i/>
          <w:kern w:val="0"/>
          <w:sz w:val="16"/>
          <w:szCs w:val="16"/>
          <w:lang w:eastAsia="it-IT" w:bidi="ar-SA"/>
        </w:rPr>
        <w:t>0.000,00</w:t>
      </w:r>
      <w:r w:rsidR="00850E2C" w:rsidRPr="00F2348F">
        <w:rPr>
          <w:rFonts w:ascii="DecimaWE Rg" w:eastAsia="Times New Roman" w:hAnsi="DecimaWE Rg" w:cs="Times New Roman"/>
          <w:i/>
          <w:kern w:val="0"/>
          <w:sz w:val="16"/>
          <w:szCs w:val="16"/>
          <w:lang w:eastAsia="it-IT" w:bidi="ar-SA"/>
        </w:rPr>
        <w:t xml:space="preserve"> evrov, če program v sklopu partnerstva skupaj izvedeta dve ali več organizacij.</w:t>
      </w:r>
    </w:p>
    <w:p w:rsidR="00850E2C" w:rsidRPr="00F2348F" w:rsidRDefault="00850E2C" w:rsidP="00850E2C">
      <w:pPr>
        <w:pStyle w:val="Standard"/>
        <w:widowControl/>
        <w:ind w:left="0"/>
        <w:rPr>
          <w:rFonts w:ascii="DecimaWE Rg" w:eastAsia="Times New Roman" w:hAnsi="DecimaWE Rg" w:cs="Times New Roman"/>
          <w:i/>
          <w:kern w:val="0"/>
          <w:sz w:val="16"/>
          <w:szCs w:val="16"/>
          <w:lang w:eastAsia="it-IT" w:bidi="ar-SA"/>
        </w:rPr>
      </w:pPr>
      <w:r>
        <w:rPr>
          <w:rFonts w:ascii="DecimaWE Rg" w:eastAsia="Times New Roman" w:hAnsi="DecimaWE Rg" w:cs="Times New Roman"/>
          <w:i/>
          <w:kern w:val="0"/>
          <w:sz w:val="16"/>
          <w:szCs w:val="16"/>
          <w:lang w:eastAsia="it-IT" w:bidi="ar-SA"/>
        </w:rPr>
        <w:t>Isti člen določa tudi, da so u</w:t>
      </w:r>
      <w:r w:rsidRPr="00F2348F">
        <w:rPr>
          <w:rFonts w:ascii="DecimaWE Rg" w:eastAsia="Times New Roman" w:hAnsi="DecimaWE Rg" w:cs="Times New Roman"/>
          <w:i/>
          <w:kern w:val="0"/>
          <w:sz w:val="16"/>
          <w:szCs w:val="16"/>
          <w:lang w:eastAsia="it-IT" w:bidi="ar-SA"/>
        </w:rPr>
        <w:t xml:space="preserve">pravičeni </w:t>
      </w:r>
      <w:r>
        <w:rPr>
          <w:rFonts w:ascii="DecimaWE Rg" w:eastAsia="Times New Roman" w:hAnsi="DecimaWE Rg" w:cs="Times New Roman"/>
          <w:i/>
          <w:kern w:val="0"/>
          <w:sz w:val="16"/>
          <w:szCs w:val="16"/>
          <w:lang w:eastAsia="it-IT" w:bidi="ar-SA"/>
        </w:rPr>
        <w:t xml:space="preserve">tisti </w:t>
      </w:r>
      <w:r w:rsidRPr="00F2348F">
        <w:rPr>
          <w:rFonts w:ascii="DecimaWE Rg" w:eastAsia="Times New Roman" w:hAnsi="DecimaWE Rg" w:cs="Times New Roman"/>
          <w:i/>
          <w:kern w:val="0"/>
          <w:sz w:val="16"/>
          <w:szCs w:val="16"/>
          <w:lang w:eastAsia="it-IT" w:bidi="ar-SA"/>
        </w:rPr>
        <w:t>stroški, ki nastanejo neposredno zaradi izvajanja vzgojne dejavnosti in vzgojnih storitev, kakršne so na primer popoldansko varstvo otrok in poletna središča v slovenskem jeziku, ter spodbujanja</w:t>
      </w:r>
      <w:r>
        <w:rPr>
          <w:rFonts w:ascii="DecimaWE Rg" w:eastAsia="Times New Roman" w:hAnsi="DecimaWE Rg" w:cs="Times New Roman"/>
          <w:i/>
          <w:kern w:val="0"/>
          <w:sz w:val="16"/>
          <w:szCs w:val="16"/>
          <w:lang w:eastAsia="it-IT" w:bidi="ar-SA"/>
        </w:rPr>
        <w:t xml:space="preserve"> kulturnih </w:t>
      </w:r>
      <w:r w:rsidRPr="00F2348F">
        <w:rPr>
          <w:rFonts w:ascii="DecimaWE Rg" w:eastAsia="Times New Roman" w:hAnsi="DecimaWE Rg" w:cs="Times New Roman"/>
          <w:i/>
          <w:kern w:val="0"/>
          <w:sz w:val="16"/>
          <w:szCs w:val="16"/>
          <w:lang w:eastAsia="it-IT" w:bidi="ar-SA"/>
        </w:rPr>
        <w:t>izmenjav in mladinskih dejavnosti tudi na čezmejni ravni.</w:t>
      </w:r>
    </w:p>
    <w:p w:rsidR="00850E2C" w:rsidRDefault="00850E2C" w:rsidP="00850E2C">
      <w:pPr>
        <w:pStyle w:val="Standard"/>
        <w:widowControl/>
        <w:ind w:left="0"/>
        <w:rPr>
          <w:rFonts w:ascii="DecimaWE Rg" w:eastAsia="Times New Roman" w:hAnsi="DecimaWE Rg" w:cs="Times New Roman"/>
          <w:i/>
          <w:kern w:val="0"/>
          <w:sz w:val="16"/>
          <w:szCs w:val="16"/>
          <w:lang w:eastAsia="it-IT" w:bidi="ar-SA"/>
        </w:rPr>
      </w:pPr>
      <w:r w:rsidRPr="00F2348F">
        <w:rPr>
          <w:rFonts w:ascii="DecimaWE Rg" w:eastAsia="Times New Roman" w:hAnsi="DecimaWE Rg" w:cs="Times New Roman"/>
          <w:i/>
          <w:kern w:val="0"/>
          <w:sz w:val="16"/>
          <w:szCs w:val="16"/>
          <w:lang w:eastAsia="it-IT" w:bidi="ar-SA"/>
        </w:rPr>
        <w:t xml:space="preserve">Med </w:t>
      </w:r>
      <w:r w:rsidRPr="00BD70AC">
        <w:rPr>
          <w:rFonts w:ascii="DecimaWE Rg" w:eastAsia="Times New Roman" w:hAnsi="DecimaWE Rg" w:cs="Times New Roman"/>
          <w:b/>
          <w:i/>
          <w:kern w:val="0"/>
          <w:sz w:val="16"/>
          <w:szCs w:val="16"/>
          <w:lang w:eastAsia="it-IT" w:bidi="ar-SA"/>
        </w:rPr>
        <w:t>upravičene stroške sodijo</w:t>
      </w:r>
      <w:r w:rsidRPr="00F2348F">
        <w:rPr>
          <w:rFonts w:ascii="DecimaWE Rg" w:eastAsia="Times New Roman" w:hAnsi="DecimaWE Rg" w:cs="Times New Roman"/>
          <w:i/>
          <w:kern w:val="0"/>
          <w:sz w:val="16"/>
          <w:szCs w:val="16"/>
          <w:lang w:eastAsia="it-IT" w:bidi="ar-SA"/>
        </w:rPr>
        <w:t xml:space="preserve"> </w:t>
      </w:r>
      <w:r>
        <w:rPr>
          <w:rFonts w:ascii="DecimaWE Rg" w:eastAsia="Times New Roman" w:hAnsi="DecimaWE Rg" w:cs="Times New Roman"/>
          <w:i/>
          <w:kern w:val="0"/>
          <w:sz w:val="16"/>
          <w:szCs w:val="16"/>
          <w:lang w:eastAsia="it-IT" w:bidi="ar-SA"/>
        </w:rPr>
        <w:t xml:space="preserve">po navedenem členu </w:t>
      </w:r>
      <w:r w:rsidRPr="00F2348F">
        <w:rPr>
          <w:rFonts w:ascii="DecimaWE Rg" w:eastAsia="Times New Roman" w:hAnsi="DecimaWE Rg" w:cs="Times New Roman"/>
          <w:i/>
          <w:kern w:val="0"/>
          <w:sz w:val="16"/>
          <w:szCs w:val="16"/>
          <w:lang w:eastAsia="it-IT" w:bidi="ar-SA"/>
        </w:rPr>
        <w:t xml:space="preserve">še zlasti </w:t>
      </w:r>
      <w:r>
        <w:rPr>
          <w:rFonts w:ascii="DecimaWE Rg" w:eastAsia="Times New Roman" w:hAnsi="DecimaWE Rg" w:cs="Times New Roman"/>
          <w:i/>
          <w:kern w:val="0"/>
          <w:sz w:val="16"/>
          <w:szCs w:val="16"/>
          <w:lang w:eastAsia="it-IT" w:bidi="ar-SA"/>
        </w:rPr>
        <w:t>spodaj navedene</w:t>
      </w:r>
      <w:r w:rsidRPr="00F2348F">
        <w:rPr>
          <w:rFonts w:ascii="DecimaWE Rg" w:eastAsia="Times New Roman" w:hAnsi="DecimaWE Rg" w:cs="Times New Roman"/>
          <w:i/>
          <w:kern w:val="0"/>
          <w:sz w:val="16"/>
          <w:szCs w:val="16"/>
          <w:lang w:eastAsia="it-IT" w:bidi="ar-SA"/>
        </w:rPr>
        <w:t xml:space="preserve"> vrste stroškov, v katere je vštet DDV, če ga ustanove ne dobijo povrnjenega ali če do nj</w:t>
      </w:r>
      <w:r>
        <w:rPr>
          <w:rFonts w:ascii="DecimaWE Rg" w:eastAsia="Times New Roman" w:hAnsi="DecimaWE Rg" w:cs="Times New Roman"/>
          <w:i/>
          <w:kern w:val="0"/>
          <w:sz w:val="16"/>
          <w:szCs w:val="16"/>
          <w:lang w:eastAsia="it-IT" w:bidi="ar-SA"/>
        </w:rPr>
        <w:t>egove povrnitve niso upravičene.</w:t>
      </w:r>
    </w:p>
    <w:p w:rsidR="00DF0FD0" w:rsidRPr="00DF0FD0" w:rsidRDefault="00DF0FD0" w:rsidP="00DF0FD0">
      <w:pPr>
        <w:jc w:val="center"/>
        <w:rPr>
          <w:rFonts w:ascii="DecimaWE Rg" w:hAnsi="DecimaWE Rg"/>
          <w:b/>
          <w:i/>
          <w:sz w:val="20"/>
          <w:szCs w:val="20"/>
          <w:lang w:val="sl-SI"/>
        </w:rPr>
      </w:pPr>
    </w:p>
    <w:tbl>
      <w:tblPr>
        <w:tblStyle w:val="Grigliatabella"/>
        <w:tblW w:w="0" w:type="auto"/>
        <w:tblInd w:w="421" w:type="dxa"/>
        <w:tblBorders>
          <w:insideH w:val="none" w:sz="0" w:space="0" w:color="auto"/>
          <w:insideV w:val="none" w:sz="0" w:space="0" w:color="auto"/>
        </w:tblBorders>
        <w:tblLook w:val="04A0" w:firstRow="1" w:lastRow="0" w:firstColumn="1" w:lastColumn="0" w:noHBand="0" w:noVBand="1"/>
      </w:tblPr>
      <w:tblGrid>
        <w:gridCol w:w="8759"/>
      </w:tblGrid>
      <w:tr w:rsidR="00AF5972" w:rsidRPr="009F0DBD" w:rsidTr="00955BBB">
        <w:tc>
          <w:tcPr>
            <w:tcW w:w="8759" w:type="dxa"/>
            <w:tcBorders>
              <w:top w:val="single" w:sz="4" w:space="0" w:color="auto"/>
              <w:bottom w:val="single" w:sz="4" w:space="0" w:color="auto"/>
            </w:tcBorders>
            <w:vAlign w:val="center"/>
          </w:tcPr>
          <w:p w:rsidR="00AF5972" w:rsidRDefault="00AF5972" w:rsidP="00AF5972">
            <w:pPr>
              <w:ind w:firstLine="709"/>
              <w:rPr>
                <w:rFonts w:ascii="DecimaWE Rg" w:hAnsi="DecimaWE Rg"/>
                <w:b/>
                <w:i/>
                <w:sz w:val="20"/>
                <w:szCs w:val="20"/>
                <w:lang w:val="sl-SI"/>
              </w:rPr>
            </w:pPr>
            <w:r w:rsidRPr="00DF0FD0">
              <w:rPr>
                <w:rFonts w:ascii="DecimaWE Rg" w:hAnsi="DecimaWE Rg"/>
                <w:b/>
                <w:i/>
                <w:sz w:val="20"/>
                <w:szCs w:val="20"/>
                <w:lang w:val="sl-SI"/>
              </w:rPr>
              <w:t>SPESE AMMISSIBILI – UPRAVIČENI STROŠKI</w:t>
            </w:r>
          </w:p>
          <w:p w:rsidR="00AF5972" w:rsidRPr="00DF0FD0" w:rsidRDefault="00AF5972" w:rsidP="00AF5972">
            <w:pPr>
              <w:pStyle w:val="Paragrafoelenco"/>
              <w:rPr>
                <w:rFonts w:ascii="DecimaWE Rg" w:hAnsi="DecimaWE Rg" w:cs="Arial"/>
                <w:sz w:val="14"/>
                <w:szCs w:val="14"/>
              </w:rPr>
            </w:pPr>
          </w:p>
        </w:tc>
      </w:tr>
      <w:tr w:rsidR="00DF0FD0" w:rsidRPr="009F0DBD" w:rsidTr="00955BBB">
        <w:tc>
          <w:tcPr>
            <w:tcW w:w="8759" w:type="dxa"/>
            <w:tcBorders>
              <w:top w:val="single" w:sz="4" w:space="0" w:color="auto"/>
            </w:tcBorders>
            <w:vAlign w:val="center"/>
          </w:tcPr>
          <w:p w:rsidR="00DF0FD0" w:rsidRPr="00DF0FD0" w:rsidRDefault="00DF0FD0" w:rsidP="00EC2060">
            <w:pPr>
              <w:pStyle w:val="Paragrafoelenco"/>
              <w:numPr>
                <w:ilvl w:val="0"/>
                <w:numId w:val="1"/>
              </w:numPr>
              <w:rPr>
                <w:rFonts w:ascii="DecimaWE Rg" w:hAnsi="DecimaWE Rg"/>
                <w:sz w:val="14"/>
                <w:szCs w:val="14"/>
              </w:rPr>
            </w:pPr>
            <w:r w:rsidRPr="00DF0FD0">
              <w:rPr>
                <w:rFonts w:ascii="DecimaWE Rg" w:hAnsi="DecimaWE Rg" w:cs="Arial"/>
                <w:sz w:val="14"/>
                <w:szCs w:val="14"/>
              </w:rPr>
              <w:t>spese di affitto spazi e locali, noleggio di materiali e attrezzature</w:t>
            </w:r>
          </w:p>
          <w:p w:rsidR="00DF0FD0" w:rsidRDefault="00DF0FD0" w:rsidP="00EC2060">
            <w:pPr>
              <w:pStyle w:val="Paragrafoelenco"/>
              <w:rPr>
                <w:rFonts w:ascii="DecimaWE Rg" w:hAnsi="DecimaWE Rg" w:cs="Arial"/>
                <w:i/>
                <w:sz w:val="14"/>
                <w:szCs w:val="14"/>
              </w:rPr>
            </w:pPr>
            <w:r w:rsidRPr="00DF0FD0">
              <w:rPr>
                <w:rFonts w:ascii="DecimaWE Rg" w:hAnsi="DecimaWE Rg" w:cs="Arial"/>
                <w:i/>
                <w:sz w:val="14"/>
                <w:szCs w:val="14"/>
              </w:rPr>
              <w:t>stroški najema prostorov, materiala in opreme</w:t>
            </w:r>
          </w:p>
          <w:p w:rsidR="00DF0FD0" w:rsidRPr="00DF0FD0" w:rsidRDefault="00DF0FD0" w:rsidP="00EC2060">
            <w:pPr>
              <w:pStyle w:val="Paragrafoelenco"/>
              <w:rPr>
                <w:rFonts w:ascii="DecimaWE Rg" w:hAnsi="DecimaWE Rg"/>
                <w:i/>
                <w:sz w:val="14"/>
                <w:szCs w:val="14"/>
              </w:rPr>
            </w:pPr>
          </w:p>
        </w:tc>
      </w:tr>
      <w:tr w:rsidR="00DF0FD0" w:rsidRPr="009F0DBD" w:rsidTr="00955BBB">
        <w:tc>
          <w:tcPr>
            <w:tcW w:w="8759" w:type="dxa"/>
            <w:vAlign w:val="center"/>
          </w:tcPr>
          <w:p w:rsidR="00DF0FD0" w:rsidRPr="00DF0FD0" w:rsidRDefault="00DF0FD0" w:rsidP="00EC2060">
            <w:pPr>
              <w:pStyle w:val="Paragrafoelenco"/>
              <w:numPr>
                <w:ilvl w:val="0"/>
                <w:numId w:val="1"/>
              </w:numPr>
              <w:rPr>
                <w:rFonts w:ascii="DecimaWE Rg" w:hAnsi="DecimaWE Rg"/>
                <w:sz w:val="14"/>
                <w:szCs w:val="14"/>
              </w:rPr>
            </w:pPr>
            <w:r w:rsidRPr="00DF0FD0">
              <w:rPr>
                <w:rFonts w:ascii="DecimaWE Rg" w:hAnsi="DecimaWE Rg" w:cs="Arial"/>
                <w:sz w:val="14"/>
                <w:szCs w:val="14"/>
              </w:rPr>
              <w:t>spese assicurative per i partecipanti alle attività programmate</w:t>
            </w:r>
          </w:p>
          <w:p w:rsidR="00DF0FD0" w:rsidRDefault="00DF0FD0" w:rsidP="00EC2060">
            <w:pPr>
              <w:pStyle w:val="Paragrafoelenco"/>
              <w:rPr>
                <w:rFonts w:ascii="DecimaWE Rg" w:hAnsi="DecimaWE Rg" w:cs="Arial"/>
                <w:i/>
                <w:sz w:val="14"/>
                <w:szCs w:val="14"/>
              </w:rPr>
            </w:pPr>
            <w:r w:rsidRPr="00DF0FD0">
              <w:rPr>
                <w:rFonts w:ascii="DecimaWE Rg" w:hAnsi="DecimaWE Rg" w:cs="Arial"/>
                <w:i/>
                <w:sz w:val="14"/>
                <w:szCs w:val="14"/>
              </w:rPr>
              <w:t>stroški zavarovanja udeležencev načrtovanih dejavnostih</w:t>
            </w:r>
          </w:p>
          <w:p w:rsidR="00DF0FD0" w:rsidRPr="00DF0FD0" w:rsidRDefault="00DF0FD0" w:rsidP="00EC2060">
            <w:pPr>
              <w:pStyle w:val="Paragrafoelenco"/>
              <w:rPr>
                <w:rFonts w:ascii="DecimaWE Rg" w:hAnsi="DecimaWE Rg"/>
                <w:i/>
                <w:sz w:val="14"/>
                <w:szCs w:val="14"/>
              </w:rPr>
            </w:pPr>
          </w:p>
        </w:tc>
      </w:tr>
      <w:tr w:rsidR="00DF0FD0" w:rsidRPr="009F0DBD" w:rsidTr="00955BBB">
        <w:tc>
          <w:tcPr>
            <w:tcW w:w="8759" w:type="dxa"/>
            <w:vAlign w:val="center"/>
          </w:tcPr>
          <w:p w:rsidR="00DF0FD0" w:rsidRPr="00DF0FD0" w:rsidRDefault="00DF0FD0" w:rsidP="00EC2060">
            <w:pPr>
              <w:pStyle w:val="Paragrafoelenco"/>
              <w:numPr>
                <w:ilvl w:val="0"/>
                <w:numId w:val="1"/>
              </w:numPr>
              <w:rPr>
                <w:rFonts w:ascii="DecimaWE Rg" w:hAnsi="DecimaWE Rg"/>
                <w:sz w:val="14"/>
                <w:szCs w:val="14"/>
              </w:rPr>
            </w:pPr>
            <w:r w:rsidRPr="00DF0FD0">
              <w:rPr>
                <w:rFonts w:ascii="DecimaWE Rg" w:hAnsi="DecimaWE Rg" w:cs="Arial"/>
                <w:sz w:val="14"/>
                <w:szCs w:val="14"/>
              </w:rPr>
              <w:t>spese per il personale dipendente impiegato nello svolgimento delle attività oggetto di finanziamento</w:t>
            </w:r>
          </w:p>
          <w:p w:rsidR="00DF0FD0" w:rsidRDefault="00DF0FD0" w:rsidP="00EC2060">
            <w:pPr>
              <w:pStyle w:val="Paragrafoelenco"/>
              <w:rPr>
                <w:rFonts w:ascii="DecimaWE Rg" w:hAnsi="DecimaWE Rg" w:cs="Arial"/>
                <w:i/>
                <w:sz w:val="14"/>
                <w:szCs w:val="14"/>
              </w:rPr>
            </w:pPr>
            <w:r w:rsidRPr="00DF0FD0">
              <w:rPr>
                <w:rFonts w:ascii="DecimaWE Rg" w:hAnsi="DecimaWE Rg" w:cs="Arial"/>
                <w:i/>
                <w:sz w:val="14"/>
                <w:szCs w:val="14"/>
              </w:rPr>
              <w:t xml:space="preserve">stroški za zaposlene, ki so zadolženi za izvajanje dejavnosti, financiranih s prispevkom </w:t>
            </w:r>
          </w:p>
          <w:p w:rsidR="00DF0FD0" w:rsidRPr="00DF0FD0" w:rsidRDefault="00DF0FD0" w:rsidP="00EC2060">
            <w:pPr>
              <w:pStyle w:val="Paragrafoelenco"/>
              <w:rPr>
                <w:rFonts w:ascii="DecimaWE Rg" w:hAnsi="DecimaWE Rg"/>
                <w:i/>
                <w:sz w:val="14"/>
                <w:szCs w:val="14"/>
              </w:rPr>
            </w:pPr>
          </w:p>
        </w:tc>
      </w:tr>
      <w:tr w:rsidR="00DF0FD0" w:rsidRPr="009F0DBD" w:rsidTr="00955BBB">
        <w:tc>
          <w:tcPr>
            <w:tcW w:w="8759" w:type="dxa"/>
            <w:vAlign w:val="center"/>
          </w:tcPr>
          <w:p w:rsidR="00DF0FD0" w:rsidRPr="00DF0FD0" w:rsidRDefault="00DF0FD0" w:rsidP="00EC2060">
            <w:pPr>
              <w:pStyle w:val="Paragrafoelenco"/>
              <w:numPr>
                <w:ilvl w:val="0"/>
                <w:numId w:val="1"/>
              </w:numPr>
              <w:rPr>
                <w:rFonts w:ascii="DecimaWE Rg" w:hAnsi="DecimaWE Rg"/>
                <w:sz w:val="14"/>
                <w:szCs w:val="14"/>
              </w:rPr>
            </w:pPr>
            <w:r w:rsidRPr="00DF0FD0">
              <w:rPr>
                <w:rFonts w:ascii="DecimaWE Rg" w:hAnsi="DecimaWE Rg" w:cs="Arial"/>
                <w:sz w:val="14"/>
                <w:szCs w:val="14"/>
              </w:rPr>
              <w:t>spese per compensi e rimborsi a collaboratori esterni per prestazioni rese all’ente per l’attuazione delle attività programmate</w:t>
            </w:r>
          </w:p>
          <w:p w:rsidR="00DF0FD0" w:rsidRDefault="00DF0FD0" w:rsidP="00EC2060">
            <w:pPr>
              <w:pStyle w:val="Paragrafoelenco"/>
              <w:rPr>
                <w:rFonts w:ascii="DecimaWE Rg" w:hAnsi="DecimaWE Rg" w:cs="Arial"/>
                <w:i/>
                <w:sz w:val="14"/>
                <w:szCs w:val="14"/>
              </w:rPr>
            </w:pPr>
            <w:r w:rsidRPr="00DF0FD0">
              <w:rPr>
                <w:rFonts w:ascii="DecimaWE Rg" w:hAnsi="DecimaWE Rg" w:cs="Arial"/>
                <w:i/>
                <w:sz w:val="14"/>
                <w:szCs w:val="14"/>
              </w:rPr>
              <w:t>stroški za plačila in povračila stroškov zunanjim sodelavcem za storitve, ki so jih ustanovi nudili za izvajanje načrtovanih dejavnosti</w:t>
            </w:r>
          </w:p>
          <w:p w:rsidR="00DF0FD0" w:rsidRPr="00DF0FD0" w:rsidRDefault="00DF0FD0" w:rsidP="00EC2060">
            <w:pPr>
              <w:pStyle w:val="Paragrafoelenco"/>
              <w:rPr>
                <w:rFonts w:ascii="DecimaWE Rg" w:hAnsi="DecimaWE Rg"/>
                <w:i/>
                <w:sz w:val="14"/>
                <w:szCs w:val="14"/>
              </w:rPr>
            </w:pPr>
          </w:p>
        </w:tc>
      </w:tr>
      <w:tr w:rsidR="00DF0FD0" w:rsidRPr="009F0DBD" w:rsidTr="00955BBB">
        <w:tc>
          <w:tcPr>
            <w:tcW w:w="8759" w:type="dxa"/>
            <w:vAlign w:val="center"/>
          </w:tcPr>
          <w:p w:rsidR="00DF0FD0" w:rsidRPr="00DF0FD0" w:rsidRDefault="00DF0FD0" w:rsidP="00EC2060">
            <w:pPr>
              <w:pStyle w:val="Paragrafoelenco"/>
              <w:numPr>
                <w:ilvl w:val="0"/>
                <w:numId w:val="1"/>
              </w:numPr>
              <w:rPr>
                <w:rFonts w:ascii="DecimaWE Rg" w:hAnsi="DecimaWE Rg"/>
                <w:sz w:val="14"/>
                <w:szCs w:val="14"/>
              </w:rPr>
            </w:pPr>
            <w:r w:rsidRPr="00DF0FD0">
              <w:rPr>
                <w:rFonts w:ascii="DecimaWE Rg" w:hAnsi="DecimaWE Rg" w:cs="Arial"/>
                <w:sz w:val="14"/>
                <w:szCs w:val="14"/>
              </w:rPr>
              <w:t>spese di viaggio, vitto, alloggio per i partecipanti alle attività programmate (per un importo non superiore al 25 per cento del contributo concesso)</w:t>
            </w:r>
          </w:p>
          <w:p w:rsidR="00DF0FD0" w:rsidRDefault="00DF0FD0" w:rsidP="00EC2060">
            <w:pPr>
              <w:pStyle w:val="Paragrafoelenco"/>
              <w:rPr>
                <w:rFonts w:ascii="DecimaWE Rg" w:hAnsi="DecimaWE Rg" w:cs="Arial"/>
                <w:i/>
                <w:sz w:val="14"/>
                <w:szCs w:val="14"/>
              </w:rPr>
            </w:pPr>
            <w:r w:rsidRPr="00DF0FD0">
              <w:rPr>
                <w:rFonts w:ascii="DecimaWE Rg" w:hAnsi="DecimaWE Rg" w:cs="Arial"/>
                <w:i/>
                <w:sz w:val="14"/>
                <w:szCs w:val="14"/>
              </w:rPr>
              <w:t>potni stroški, nastanitev in prehrana za udeležence načrtovanih dejavnostih (do največ 25 % odobrenega prispevka)</w:t>
            </w:r>
          </w:p>
          <w:p w:rsidR="00DF0FD0" w:rsidRPr="00DF0FD0" w:rsidRDefault="00DF0FD0" w:rsidP="00EC2060">
            <w:pPr>
              <w:pStyle w:val="Paragrafoelenco"/>
              <w:rPr>
                <w:rFonts w:ascii="DecimaWE Rg" w:hAnsi="DecimaWE Rg"/>
                <w:i/>
                <w:sz w:val="14"/>
                <w:szCs w:val="14"/>
                <w:lang w:val="sl-SI"/>
              </w:rPr>
            </w:pPr>
          </w:p>
        </w:tc>
      </w:tr>
      <w:tr w:rsidR="00DF0FD0" w:rsidRPr="009F0DBD" w:rsidTr="00955BBB">
        <w:tc>
          <w:tcPr>
            <w:tcW w:w="8759" w:type="dxa"/>
            <w:vAlign w:val="center"/>
          </w:tcPr>
          <w:p w:rsidR="00DF0FD0" w:rsidRPr="00DF0FD0" w:rsidRDefault="00DF0FD0" w:rsidP="00EC2060">
            <w:pPr>
              <w:pStyle w:val="Paragrafoelenco"/>
              <w:numPr>
                <w:ilvl w:val="0"/>
                <w:numId w:val="1"/>
              </w:numPr>
              <w:rPr>
                <w:rFonts w:ascii="DecimaWE Rg" w:hAnsi="DecimaWE Rg"/>
                <w:sz w:val="14"/>
                <w:szCs w:val="14"/>
              </w:rPr>
            </w:pPr>
            <w:r w:rsidRPr="00DF0FD0">
              <w:rPr>
                <w:rFonts w:ascii="DecimaWE Rg" w:hAnsi="DecimaWE Rg" w:cs="Arial"/>
                <w:sz w:val="14"/>
                <w:szCs w:val="14"/>
              </w:rPr>
              <w:t>spese di produzione e divulgazione di materiale informativo e promozionale (</w:t>
            </w:r>
            <w:r w:rsidRPr="00DF0FD0">
              <w:rPr>
                <w:rFonts w:ascii="DecimaWE Rg" w:hAnsi="DecimaWE Rg"/>
                <w:snapToGrid w:val="0"/>
                <w:color w:val="000000"/>
                <w:sz w:val="14"/>
                <w:szCs w:val="14"/>
              </w:rPr>
              <w:t>nel limite massimo del 20 per cento del contributo)</w:t>
            </w:r>
          </w:p>
          <w:p w:rsidR="00DF0FD0" w:rsidRDefault="00DF0FD0" w:rsidP="00EC2060">
            <w:pPr>
              <w:pStyle w:val="Paragrafoelenco"/>
              <w:rPr>
                <w:rFonts w:ascii="DecimaWE Rg" w:hAnsi="DecimaWE Rg" w:cs="Arial"/>
                <w:i/>
                <w:sz w:val="14"/>
                <w:szCs w:val="14"/>
              </w:rPr>
            </w:pPr>
            <w:r w:rsidRPr="00DF0FD0">
              <w:rPr>
                <w:rFonts w:ascii="DecimaWE Rg" w:hAnsi="DecimaWE Rg" w:cs="Arial"/>
                <w:i/>
                <w:sz w:val="14"/>
                <w:szCs w:val="14"/>
              </w:rPr>
              <w:t>stroški izdelave in deljenja informacijskega in promocijskega materiala (do največ 20 % prispevka)</w:t>
            </w:r>
          </w:p>
          <w:p w:rsidR="00DF0FD0" w:rsidRPr="00DF0FD0" w:rsidRDefault="00DF0FD0" w:rsidP="00EC2060">
            <w:pPr>
              <w:pStyle w:val="Paragrafoelenco"/>
              <w:rPr>
                <w:rFonts w:ascii="DecimaWE Rg" w:hAnsi="DecimaWE Rg"/>
                <w:i/>
                <w:sz w:val="14"/>
                <w:szCs w:val="14"/>
              </w:rPr>
            </w:pPr>
          </w:p>
        </w:tc>
      </w:tr>
      <w:tr w:rsidR="00DF0FD0" w:rsidRPr="009F0DBD" w:rsidTr="00955BBB">
        <w:tc>
          <w:tcPr>
            <w:tcW w:w="8759" w:type="dxa"/>
            <w:vAlign w:val="center"/>
          </w:tcPr>
          <w:p w:rsidR="00DF0FD0" w:rsidRPr="00DF0FD0" w:rsidRDefault="00DF0FD0" w:rsidP="00EC2060">
            <w:pPr>
              <w:pStyle w:val="Paragrafoelenco"/>
              <w:numPr>
                <w:ilvl w:val="0"/>
                <w:numId w:val="1"/>
              </w:numPr>
              <w:rPr>
                <w:rFonts w:ascii="DecimaWE Rg" w:hAnsi="DecimaWE Rg"/>
                <w:sz w:val="14"/>
                <w:szCs w:val="14"/>
              </w:rPr>
            </w:pPr>
            <w:r w:rsidRPr="00DF0FD0">
              <w:rPr>
                <w:rFonts w:ascii="DecimaWE Rg" w:hAnsi="DecimaWE Rg" w:cs="Arial"/>
                <w:sz w:val="14"/>
                <w:szCs w:val="14"/>
              </w:rPr>
              <w:t>spese per cancelleria, tipografiche, postali, beni consumabili (nel limite massimo del 15 per cento del contributo)</w:t>
            </w:r>
          </w:p>
          <w:p w:rsidR="00DF0FD0" w:rsidRDefault="00DF0FD0" w:rsidP="00EC2060">
            <w:pPr>
              <w:pStyle w:val="Paragrafoelenco"/>
              <w:rPr>
                <w:rFonts w:ascii="DecimaWE Rg" w:hAnsi="DecimaWE Rg" w:cs="Arial"/>
                <w:i/>
                <w:sz w:val="14"/>
                <w:szCs w:val="14"/>
              </w:rPr>
            </w:pPr>
            <w:r w:rsidRPr="00DF0FD0">
              <w:rPr>
                <w:rFonts w:ascii="DecimaWE Rg" w:hAnsi="DecimaWE Rg" w:cs="Arial"/>
                <w:i/>
                <w:sz w:val="14"/>
                <w:szCs w:val="14"/>
              </w:rPr>
              <w:t>stroški pisarniškega materiala, tiskarniški stroški, poštnine, stroški za potrošniško blago (do največ 15 % prispevka)</w:t>
            </w:r>
          </w:p>
          <w:p w:rsidR="00DF0FD0" w:rsidRPr="00DF0FD0" w:rsidRDefault="00DF0FD0" w:rsidP="00EC2060">
            <w:pPr>
              <w:pStyle w:val="Paragrafoelenco"/>
              <w:rPr>
                <w:rFonts w:ascii="DecimaWE Rg" w:hAnsi="DecimaWE Rg"/>
                <w:sz w:val="14"/>
                <w:szCs w:val="14"/>
              </w:rPr>
            </w:pPr>
          </w:p>
        </w:tc>
      </w:tr>
      <w:tr w:rsidR="00DF0FD0" w:rsidRPr="009F0DBD" w:rsidTr="00955BBB">
        <w:tc>
          <w:tcPr>
            <w:tcW w:w="8759" w:type="dxa"/>
            <w:vAlign w:val="center"/>
          </w:tcPr>
          <w:p w:rsidR="00DF0FD0" w:rsidRPr="00DF0FD0" w:rsidRDefault="00DF0FD0" w:rsidP="00EC2060">
            <w:pPr>
              <w:pStyle w:val="Standard"/>
              <w:widowControl/>
              <w:numPr>
                <w:ilvl w:val="0"/>
                <w:numId w:val="1"/>
              </w:numPr>
              <w:tabs>
                <w:tab w:val="left" w:pos="284"/>
              </w:tabs>
              <w:ind w:right="126"/>
              <w:jc w:val="left"/>
              <w:rPr>
                <w:rFonts w:ascii="DecimaWE Rg" w:hAnsi="DecimaWE Rg"/>
                <w:sz w:val="14"/>
                <w:szCs w:val="14"/>
                <w:lang w:val="it-IT"/>
              </w:rPr>
            </w:pPr>
            <w:r w:rsidRPr="00DF0FD0">
              <w:rPr>
                <w:rFonts w:ascii="DecimaWE Rg" w:hAnsi="DecimaWE Rg" w:cs="Arial"/>
                <w:sz w:val="14"/>
                <w:szCs w:val="14"/>
              </w:rPr>
              <w:t xml:space="preserve">spese generali di funzionamento riguardanti la sede, in particolare le utenze, e costi generali di gestione </w:t>
            </w:r>
            <w:r w:rsidRPr="00DF0FD0">
              <w:rPr>
                <w:rFonts w:ascii="DecimaWE Rg" w:hAnsi="DecimaWE Rg" w:cs="Arial"/>
                <w:color w:val="000000"/>
                <w:sz w:val="14"/>
                <w:szCs w:val="14"/>
              </w:rPr>
              <w:t xml:space="preserve">riferibili </w:t>
            </w:r>
            <w:r w:rsidRPr="00DF0FD0">
              <w:rPr>
                <w:rFonts w:ascii="DecimaWE Rg" w:hAnsi="DecimaWE Rg" w:cs="Arial"/>
                <w:sz w:val="14"/>
                <w:szCs w:val="14"/>
              </w:rPr>
              <w:t>all’attività programmata (nella misura massima del 15 per cento del contributo concesso)</w:t>
            </w:r>
          </w:p>
          <w:p w:rsidR="00DF0FD0" w:rsidRDefault="00DF0FD0" w:rsidP="00EC2060">
            <w:pPr>
              <w:pStyle w:val="Standard"/>
              <w:widowControl/>
              <w:tabs>
                <w:tab w:val="left" w:pos="284"/>
              </w:tabs>
              <w:ind w:left="720" w:right="126"/>
              <w:jc w:val="left"/>
              <w:rPr>
                <w:rFonts w:ascii="DecimaWE Rg" w:hAnsi="DecimaWE Rg" w:cs="Arial"/>
                <w:i/>
                <w:sz w:val="14"/>
                <w:szCs w:val="14"/>
              </w:rPr>
            </w:pPr>
            <w:r w:rsidRPr="00DF0FD0">
              <w:rPr>
                <w:rFonts w:ascii="DecimaWE Rg" w:hAnsi="DecimaWE Rg"/>
                <w:i/>
                <w:sz w:val="14"/>
                <w:szCs w:val="14"/>
              </w:rPr>
              <w:t xml:space="preserve">splošni stroški delovanja sedeža, </w:t>
            </w:r>
            <w:r w:rsidRPr="00DF0FD0">
              <w:rPr>
                <w:rFonts w:ascii="DecimaWE Rg" w:hAnsi="DecimaWE Rg" w:cs="Arial"/>
                <w:i/>
                <w:sz w:val="14"/>
                <w:szCs w:val="14"/>
              </w:rPr>
              <w:t>še zlasti obratovalni stroški in splošni stroški upravljanja, ki so povezani s programom načrtovane dejavnosti (do največ 15 % odobrenega prispevka)</w:t>
            </w:r>
          </w:p>
          <w:p w:rsidR="00DF0FD0" w:rsidRPr="00DF0FD0" w:rsidRDefault="00DF0FD0" w:rsidP="00EC2060">
            <w:pPr>
              <w:pStyle w:val="Standard"/>
              <w:widowControl/>
              <w:tabs>
                <w:tab w:val="left" w:pos="284"/>
              </w:tabs>
              <w:ind w:left="720" w:right="126"/>
              <w:jc w:val="left"/>
              <w:rPr>
                <w:rFonts w:ascii="DecimaWE Rg" w:hAnsi="DecimaWE Rg"/>
                <w:i/>
                <w:sz w:val="14"/>
                <w:szCs w:val="14"/>
                <w:lang w:val="it-IT"/>
              </w:rPr>
            </w:pPr>
          </w:p>
        </w:tc>
      </w:tr>
      <w:tr w:rsidR="00DF0FD0" w:rsidRPr="009F0DBD" w:rsidTr="00955BBB">
        <w:tc>
          <w:tcPr>
            <w:tcW w:w="8759" w:type="dxa"/>
            <w:vAlign w:val="center"/>
          </w:tcPr>
          <w:p w:rsidR="00DF0FD0" w:rsidRPr="00DF0FD0" w:rsidRDefault="00DF0FD0" w:rsidP="00EC2060">
            <w:pPr>
              <w:pStyle w:val="Standard"/>
              <w:widowControl/>
              <w:numPr>
                <w:ilvl w:val="0"/>
                <w:numId w:val="1"/>
              </w:numPr>
              <w:tabs>
                <w:tab w:val="left" w:pos="284"/>
              </w:tabs>
              <w:ind w:right="126"/>
              <w:jc w:val="left"/>
              <w:rPr>
                <w:rFonts w:ascii="DecimaWE Rg" w:hAnsi="DecimaWE Rg" w:cs="Arial"/>
                <w:sz w:val="14"/>
                <w:szCs w:val="14"/>
                <w:lang w:val="it-IT"/>
              </w:rPr>
            </w:pPr>
            <w:r w:rsidRPr="00DF0FD0">
              <w:rPr>
                <w:rFonts w:ascii="DecimaWE Rg" w:hAnsi="DecimaWE Rg" w:cs="Arial"/>
                <w:sz w:val="14"/>
                <w:szCs w:val="14"/>
                <w:lang w:val="it-IT"/>
              </w:rPr>
              <w:t xml:space="preserve">altre spese </w:t>
            </w:r>
          </w:p>
          <w:p w:rsidR="00DF0FD0" w:rsidRPr="00DF0FD0" w:rsidRDefault="00DF0FD0" w:rsidP="00EC2060">
            <w:pPr>
              <w:pStyle w:val="Standard"/>
              <w:widowControl/>
              <w:tabs>
                <w:tab w:val="left" w:pos="284"/>
              </w:tabs>
              <w:ind w:left="720" w:right="126"/>
              <w:jc w:val="left"/>
              <w:rPr>
                <w:rFonts w:ascii="DecimaWE Rg" w:hAnsi="DecimaWE Rg" w:cs="Arial"/>
                <w:sz w:val="14"/>
                <w:szCs w:val="14"/>
                <w:lang w:val="it-IT"/>
              </w:rPr>
            </w:pPr>
            <w:r w:rsidRPr="00DF0FD0">
              <w:rPr>
                <w:rFonts w:ascii="DecimaWE Rg" w:hAnsi="DecimaWE Rg" w:cs="Arial"/>
                <w:i/>
                <w:sz w:val="14"/>
                <w:szCs w:val="14"/>
                <w:lang w:val="it-IT"/>
              </w:rPr>
              <w:t>drugi stroški</w:t>
            </w:r>
          </w:p>
        </w:tc>
      </w:tr>
    </w:tbl>
    <w:p w:rsidR="00DF0FD0" w:rsidRDefault="00DF0FD0" w:rsidP="00A23ED1">
      <w:pPr>
        <w:jc w:val="center"/>
        <w:rPr>
          <w:rFonts w:ascii="DecimaWE Rg" w:hAnsi="DecimaWE Rg"/>
          <w:b/>
          <w:i/>
          <w:lang w:val="sl-SI"/>
        </w:rPr>
      </w:pP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8"/>
      </w:tblGrid>
      <w:tr w:rsidR="001234A8" w:rsidTr="001234A8">
        <w:trPr>
          <w:trHeight w:val="11462"/>
        </w:trPr>
        <w:tc>
          <w:tcPr>
            <w:tcW w:w="9778" w:type="dxa"/>
          </w:tcPr>
          <w:p w:rsidR="001234A8" w:rsidRDefault="001234A8" w:rsidP="00A23ED1">
            <w:pPr>
              <w:jc w:val="center"/>
              <w:rPr>
                <w:rFonts w:ascii="DecimaWE Rg" w:hAnsi="DecimaWE Rg"/>
                <w:b/>
                <w:i/>
                <w:lang w:val="sl-SI"/>
              </w:rPr>
            </w:pPr>
          </w:p>
          <w:p w:rsidR="003E0AD6" w:rsidRDefault="003E0AD6" w:rsidP="003E0AD6">
            <w:pPr>
              <w:jc w:val="both"/>
              <w:rPr>
                <w:rFonts w:ascii="DecimaWE Rg" w:hAnsi="DecimaWE Rg"/>
                <w:b/>
                <w:i/>
                <w:lang w:val="sl-SI"/>
              </w:rPr>
            </w:pP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bookmarkStart w:id="0" w:name="_GoBack"/>
            <w:bookmarkEnd w:id="0"/>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fldChar w:fldCharType="end"/>
            </w:r>
          </w:p>
        </w:tc>
      </w:tr>
    </w:tbl>
    <w:p w:rsidR="00EF1F2C" w:rsidRDefault="001B3545" w:rsidP="001234A8"/>
    <w:sectPr w:rsidR="00EF1F2C" w:rsidSect="001234A8">
      <w:pgSz w:w="11906" w:h="16838"/>
      <w:pgMar w:top="993"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45" w:rsidRDefault="001B3545" w:rsidP="00737C85">
      <w:r>
        <w:separator/>
      </w:r>
    </w:p>
  </w:endnote>
  <w:endnote w:type="continuationSeparator" w:id="0">
    <w:p w:rsidR="001B3545" w:rsidRDefault="001B3545" w:rsidP="00737C85">
      <w:r>
        <w:continuationSeparator/>
      </w:r>
    </w:p>
  </w:endnote>
  <w:endnote w:id="1">
    <w:p w:rsidR="00A479E2" w:rsidRPr="001234A8" w:rsidRDefault="00A479E2" w:rsidP="001234A8">
      <w:pPr>
        <w:pStyle w:val="Standard"/>
        <w:spacing w:before="180" w:after="180"/>
        <w:ind w:left="0"/>
        <w:rPr>
          <w:rFonts w:ascii="DecimaWE Rg" w:hAnsi="DecimaWE Rg" w:cs="Arial"/>
          <w:i/>
          <w:sz w:val="14"/>
          <w:szCs w:val="14"/>
        </w:rPr>
      </w:pPr>
      <w:r w:rsidRPr="001234A8">
        <w:rPr>
          <w:rStyle w:val="Rimandonotadichiusura"/>
          <w:sz w:val="14"/>
          <w:szCs w:val="14"/>
        </w:rPr>
        <w:endnoteRef/>
      </w:r>
      <w:r w:rsidRPr="001234A8">
        <w:rPr>
          <w:sz w:val="14"/>
          <w:szCs w:val="14"/>
        </w:rPr>
        <w:t xml:space="preserve"> </w:t>
      </w:r>
      <w:r w:rsidRPr="001234A8">
        <w:rPr>
          <w:rFonts w:ascii="DecimaWE Rg" w:hAnsi="DecimaWE Rg"/>
          <w:sz w:val="14"/>
          <w:szCs w:val="14"/>
          <w:lang w:val="it-IT"/>
        </w:rPr>
        <w:t>NB. Secondo quanto previsto dall'art. 23</w:t>
      </w:r>
      <w:r w:rsidR="00DF0FD0" w:rsidRPr="001234A8">
        <w:rPr>
          <w:rFonts w:ascii="DecimaWE Rg" w:hAnsi="DecimaWE Rg"/>
          <w:sz w:val="14"/>
          <w:szCs w:val="14"/>
          <w:lang w:val="it-IT"/>
        </w:rPr>
        <w:t xml:space="preserve"> </w:t>
      </w:r>
      <w:r w:rsidRPr="001234A8">
        <w:rPr>
          <w:rFonts w:ascii="DecimaWE Rg" w:hAnsi="DecimaWE Rg"/>
          <w:sz w:val="14"/>
          <w:szCs w:val="14"/>
          <w:lang w:val="it-IT"/>
        </w:rPr>
        <w:t>del Regolamento, l</w:t>
      </w:r>
      <w:r w:rsidRPr="001234A8">
        <w:rPr>
          <w:rFonts w:ascii="DecimaWE Rg" w:hAnsi="DecimaWE Rg" w:cs="Arial"/>
          <w:i/>
          <w:sz w:val="14"/>
          <w:szCs w:val="14"/>
          <w:lang w:val="it-IT"/>
        </w:rPr>
        <w:t xml:space="preserve">’importo del finanziamento concesso non può superare quanto necessario per coprire le perdite d’esercizio e un utile ragionevole </w:t>
      </w:r>
      <w:r w:rsidRPr="001234A8">
        <w:rPr>
          <w:rFonts w:ascii="DecimaWE Rg" w:hAnsi="DecimaWE Rg" w:cs="Arial"/>
          <w:sz w:val="14"/>
          <w:szCs w:val="14"/>
          <w:lang w:val="it-IT"/>
        </w:rPr>
        <w:t xml:space="preserve">di cui al Regolamento (UE) della Commissione del 17 giugno 2014, n. 651/2014. Ai sensi dell’art. 23 del Regolamento, </w:t>
      </w:r>
      <w:r w:rsidRPr="001234A8">
        <w:rPr>
          <w:rFonts w:ascii="DecimaWE Rg" w:hAnsi="DecimaWE Rg" w:cs="Arial"/>
          <w:i/>
          <w:sz w:val="14"/>
          <w:szCs w:val="14"/>
          <w:lang w:val="it-IT"/>
        </w:rPr>
        <w:t xml:space="preserve">si intende per utile ragionevole tipicamente ottenuto dai beneficiari nel settore interessato dal presente Regolamento, quello ottenuto applicando all’ammontare dei costi generati dalla attività programmata o dalla singola iniziativa progettuale oggetto di contributo il tasso EURIRS (Euro Interest Rate Swap – Tasso per gli Swap su interessi) a 10 anni, così come calcolato dalla Federazione Bancaria Europea nel giorno dell’approvazione del rendiconto dell’incentivo, maggiorato dell’1 per cento. </w:t>
      </w:r>
      <w:r w:rsidRPr="001234A8">
        <w:rPr>
          <w:rFonts w:ascii="DecimaWE Rg" w:hAnsi="DecimaWE Rg" w:cs="Arial"/>
          <w:i/>
          <w:sz w:val="14"/>
          <w:szCs w:val="14"/>
        </w:rPr>
        <w:t xml:space="preserve">Il tasso di riferimento per </w:t>
      </w:r>
      <w:proofErr w:type="spellStart"/>
      <w:r w:rsidRPr="001234A8">
        <w:rPr>
          <w:rFonts w:ascii="DecimaWE Rg" w:hAnsi="DecimaWE Rg" w:cs="Arial"/>
          <w:i/>
          <w:sz w:val="14"/>
          <w:szCs w:val="14"/>
        </w:rPr>
        <w:t>il</w:t>
      </w:r>
      <w:proofErr w:type="spellEnd"/>
      <w:r w:rsidRPr="001234A8">
        <w:rPr>
          <w:rFonts w:ascii="DecimaWE Rg" w:hAnsi="DecimaWE Rg" w:cs="Arial"/>
          <w:i/>
          <w:sz w:val="14"/>
          <w:szCs w:val="14"/>
        </w:rPr>
        <w:t xml:space="preserve"> </w:t>
      </w:r>
      <w:proofErr w:type="spellStart"/>
      <w:r w:rsidR="00013205">
        <w:rPr>
          <w:rFonts w:ascii="DecimaWE Rg" w:hAnsi="DecimaWE Rg" w:cs="Arial"/>
          <w:i/>
          <w:sz w:val="14"/>
          <w:szCs w:val="14"/>
        </w:rPr>
        <w:t>calcolo</w:t>
      </w:r>
      <w:proofErr w:type="spellEnd"/>
      <w:r w:rsidR="00013205">
        <w:rPr>
          <w:rFonts w:ascii="DecimaWE Rg" w:hAnsi="DecimaWE Rg" w:cs="Arial"/>
          <w:i/>
          <w:sz w:val="14"/>
          <w:szCs w:val="14"/>
        </w:rPr>
        <w:t xml:space="preserve"> </w:t>
      </w:r>
      <w:proofErr w:type="spellStart"/>
      <w:r w:rsidR="00013205">
        <w:rPr>
          <w:rFonts w:ascii="DecimaWE Rg" w:hAnsi="DecimaWE Rg" w:cs="Arial"/>
          <w:i/>
          <w:sz w:val="14"/>
          <w:szCs w:val="14"/>
        </w:rPr>
        <w:t>dell</w:t>
      </w:r>
      <w:proofErr w:type="spellEnd"/>
      <w:r w:rsidR="00013205">
        <w:rPr>
          <w:rFonts w:ascii="DecimaWE Rg" w:hAnsi="DecimaWE Rg" w:cs="Arial"/>
          <w:i/>
          <w:sz w:val="14"/>
          <w:szCs w:val="14"/>
        </w:rPr>
        <w:t>’</w:t>
      </w:r>
      <w:proofErr w:type="spellStart"/>
      <w:r w:rsidR="00013205">
        <w:rPr>
          <w:rFonts w:ascii="DecimaWE Rg" w:hAnsi="DecimaWE Rg" w:cs="Arial"/>
          <w:i/>
          <w:sz w:val="14"/>
          <w:szCs w:val="14"/>
        </w:rPr>
        <w:t>utile</w:t>
      </w:r>
      <w:proofErr w:type="spellEnd"/>
      <w:r w:rsidR="00013205">
        <w:rPr>
          <w:rFonts w:ascii="DecimaWE Rg" w:hAnsi="DecimaWE Rg" w:cs="Arial"/>
          <w:i/>
          <w:sz w:val="14"/>
          <w:szCs w:val="14"/>
        </w:rPr>
        <w:t xml:space="preserve"> </w:t>
      </w:r>
      <w:proofErr w:type="spellStart"/>
      <w:r w:rsidR="00013205">
        <w:rPr>
          <w:rFonts w:ascii="DecimaWE Rg" w:hAnsi="DecimaWE Rg" w:cs="Arial"/>
          <w:i/>
          <w:sz w:val="14"/>
          <w:szCs w:val="14"/>
        </w:rPr>
        <w:t>ragionevole</w:t>
      </w:r>
      <w:proofErr w:type="spellEnd"/>
      <w:r w:rsidR="00013205">
        <w:rPr>
          <w:rFonts w:ascii="DecimaWE Rg" w:hAnsi="DecimaWE Rg" w:cs="Arial"/>
          <w:i/>
          <w:sz w:val="14"/>
          <w:szCs w:val="14"/>
        </w:rPr>
        <w:t xml:space="preserve"> </w:t>
      </w:r>
      <w:proofErr w:type="spellStart"/>
      <w:r w:rsidRPr="001234A8">
        <w:rPr>
          <w:rFonts w:ascii="DecimaWE Rg" w:hAnsi="DecimaWE Rg" w:cs="Arial"/>
          <w:i/>
          <w:sz w:val="14"/>
          <w:szCs w:val="14"/>
        </w:rPr>
        <w:t>può</w:t>
      </w:r>
      <w:proofErr w:type="spellEnd"/>
      <w:r w:rsidRPr="001234A8">
        <w:rPr>
          <w:rFonts w:ascii="DecimaWE Rg" w:hAnsi="DecimaWE Rg" w:cs="Arial"/>
          <w:i/>
          <w:sz w:val="14"/>
          <w:szCs w:val="14"/>
        </w:rPr>
        <w:t xml:space="preserve"> </w:t>
      </w:r>
      <w:proofErr w:type="spellStart"/>
      <w:r w:rsidRPr="001234A8">
        <w:rPr>
          <w:rFonts w:ascii="DecimaWE Rg" w:hAnsi="DecimaWE Rg" w:cs="Arial"/>
          <w:i/>
          <w:sz w:val="14"/>
          <w:szCs w:val="14"/>
        </w:rPr>
        <w:t>essere</w:t>
      </w:r>
      <w:proofErr w:type="spellEnd"/>
      <w:r w:rsidRPr="001234A8">
        <w:rPr>
          <w:rFonts w:ascii="DecimaWE Rg" w:hAnsi="DecimaWE Rg" w:cs="Arial"/>
          <w:i/>
          <w:sz w:val="14"/>
          <w:szCs w:val="14"/>
        </w:rPr>
        <w:t xml:space="preserve"> </w:t>
      </w:r>
      <w:proofErr w:type="spellStart"/>
      <w:r w:rsidRPr="001234A8">
        <w:rPr>
          <w:rFonts w:ascii="DecimaWE Rg" w:hAnsi="DecimaWE Rg" w:cs="Arial"/>
          <w:i/>
          <w:sz w:val="14"/>
          <w:szCs w:val="14"/>
        </w:rPr>
        <w:t>adeguato</w:t>
      </w:r>
      <w:proofErr w:type="spellEnd"/>
      <w:r w:rsidRPr="001234A8">
        <w:rPr>
          <w:rFonts w:ascii="DecimaWE Rg" w:hAnsi="DecimaWE Rg" w:cs="Arial"/>
          <w:i/>
          <w:sz w:val="14"/>
          <w:szCs w:val="14"/>
        </w:rPr>
        <w:t xml:space="preserve"> </w:t>
      </w:r>
      <w:proofErr w:type="spellStart"/>
      <w:r w:rsidRPr="001234A8">
        <w:rPr>
          <w:rFonts w:ascii="DecimaWE Rg" w:hAnsi="DecimaWE Rg" w:cs="Arial"/>
          <w:i/>
          <w:sz w:val="14"/>
          <w:szCs w:val="14"/>
        </w:rPr>
        <w:t>annualmente</w:t>
      </w:r>
      <w:proofErr w:type="spellEnd"/>
      <w:r w:rsidRPr="001234A8">
        <w:rPr>
          <w:rFonts w:ascii="DecimaWE Rg" w:hAnsi="DecimaWE Rg" w:cs="Arial"/>
          <w:i/>
          <w:sz w:val="14"/>
          <w:szCs w:val="14"/>
        </w:rPr>
        <w:t xml:space="preserve"> con decreto del Direttore centrale competente in materia di cultura da pubblicare sul Bollettino Ufficiale della Regione. Se i finanziamenti eccedono l’utile ragionevole il contributo è rideterminato applicando allo stesso una riduzione pari all’importo eccedente. Se l’utile o l’avanzo comportano la restituzione di una somma di denaro gli interessi sono dovuti solo successivamente allo scadere del termine fissato nella richiesta di restituzione.</w:t>
      </w:r>
    </w:p>
  </w:endnote>
  <w:endnote w:id="2">
    <w:p w:rsidR="00A479E2" w:rsidRPr="001234A8" w:rsidRDefault="00A479E2" w:rsidP="001234A8">
      <w:pPr>
        <w:tabs>
          <w:tab w:val="left" w:pos="1843"/>
        </w:tabs>
        <w:autoSpaceDE w:val="0"/>
        <w:jc w:val="both"/>
        <w:rPr>
          <w:rFonts w:ascii="DecimaWE Rg" w:eastAsia="SimSun" w:hAnsi="DecimaWE Rg" w:cs="Mangal"/>
          <w:i/>
          <w:kern w:val="3"/>
          <w:sz w:val="14"/>
          <w:szCs w:val="14"/>
          <w:lang w:val="sl-SI" w:eastAsia="zh-CN" w:bidi="hi-IN"/>
        </w:rPr>
      </w:pPr>
      <w:r w:rsidRPr="001234A8">
        <w:rPr>
          <w:rStyle w:val="Rimandonotadichiusura"/>
          <w:i/>
          <w:sz w:val="14"/>
          <w:szCs w:val="14"/>
        </w:rPr>
        <w:endnoteRef/>
      </w:r>
      <w:r w:rsidRPr="001234A8">
        <w:rPr>
          <w:i/>
          <w:sz w:val="14"/>
          <w:szCs w:val="14"/>
          <w:lang w:val="sl-SI"/>
        </w:rPr>
        <w:t xml:space="preserve"> </w:t>
      </w:r>
      <w:r w:rsidRPr="001234A8">
        <w:rPr>
          <w:rFonts w:ascii="DecimaWE Rg" w:eastAsia="SimSun" w:hAnsi="DecimaWE Rg" w:cs="Mangal"/>
          <w:kern w:val="3"/>
          <w:sz w:val="14"/>
          <w:szCs w:val="14"/>
          <w:lang w:val="sl-SI" w:eastAsia="zh-CN" w:bidi="hi-IN"/>
        </w:rPr>
        <w:t xml:space="preserve">Skladno z določili prvega odstavka 23. člena Pravilnika </w:t>
      </w:r>
      <w:r w:rsidRPr="001234A8">
        <w:rPr>
          <w:rFonts w:ascii="DecimaWE Rg" w:eastAsia="SimSun" w:hAnsi="DecimaWE Rg" w:cs="Mangal"/>
          <w:i/>
          <w:kern w:val="3"/>
          <w:sz w:val="14"/>
          <w:szCs w:val="14"/>
          <w:lang w:val="sl-SI" w:eastAsia="zh-CN" w:bidi="hi-IN"/>
        </w:rPr>
        <w:t>ne sme prispevek preseči zneska, potrebnega za kritje izgub poslovnega leta in pridobitev razumnega dobička, kot ga opredeljuje Uredba Komisije (EU) št. 651/2014 z dne 17. junija 2014.</w:t>
      </w:r>
      <w:r w:rsidRPr="001234A8">
        <w:rPr>
          <w:rFonts w:ascii="DecimaWE Rg" w:eastAsia="SimSun" w:hAnsi="DecimaWE Rg" w:cs="Mangal"/>
          <w:kern w:val="3"/>
          <w:sz w:val="14"/>
          <w:szCs w:val="14"/>
          <w:lang w:val="sl-SI" w:eastAsia="zh-CN" w:bidi="hi-IN"/>
        </w:rPr>
        <w:t xml:space="preserve"> Skladno s 23. členom</w:t>
      </w:r>
      <w:r w:rsidRPr="001234A8">
        <w:rPr>
          <w:rFonts w:ascii="DecimaWE Rg" w:eastAsia="SimSun" w:hAnsi="DecimaWE Rg" w:cs="Mangal"/>
          <w:i/>
          <w:kern w:val="3"/>
          <w:sz w:val="14"/>
          <w:szCs w:val="14"/>
          <w:lang w:val="sl-SI" w:eastAsia="zh-CN" w:bidi="hi-IN"/>
        </w:rPr>
        <w:t xml:space="preserve"> </w:t>
      </w:r>
      <w:r w:rsidRPr="001234A8">
        <w:rPr>
          <w:rFonts w:ascii="DecimaWE Rg" w:eastAsia="SimSun" w:hAnsi="DecimaWE Rg" w:cs="Mangal"/>
          <w:kern w:val="3"/>
          <w:sz w:val="14"/>
          <w:szCs w:val="14"/>
          <w:lang w:val="sl-SI" w:eastAsia="zh-CN" w:bidi="hi-IN"/>
        </w:rPr>
        <w:t>Pravilnika</w:t>
      </w:r>
      <w:r w:rsidRPr="001234A8">
        <w:rPr>
          <w:rFonts w:ascii="DecimaWE Rg" w:eastAsia="SimSun" w:hAnsi="DecimaWE Rg" w:cs="Mangal"/>
          <w:i/>
          <w:kern w:val="3"/>
          <w:sz w:val="14"/>
          <w:szCs w:val="14"/>
          <w:lang w:val="sl-SI" w:eastAsia="zh-CN" w:bidi="hi-IN"/>
        </w:rPr>
        <w:t xml:space="preserve"> se kot običajen razumen dobiček prejemnikov prispevkov s področij, ki jih ureja ta pravilnik, šteje desetletna menjalna obrestna mera EURIRS (Euro Interest Rate Swap) za stroške, nastale z načrtovano dejavnostjo ali posameznimi financiranimi projektnimi pobudami. Upošteva se obrestna mera EURIRS, ki jo Evropska bančna federacija izračuna na dan odobritve obračuna prispevka, z enoodstotnim pribitkom. Referenčna obrestna mera za izračun razumnega dobička se lahko vsako leto prilagodi z odlokom centralnega direktorja za kulturo. Odlok se objavi v Deželnem uradnem listu. Če se izkaže, da prispevek presega razumen dobiček, se višina prispevka vnovič določi, in sicer tako, da se presežni znesek odšteje od prispevka. Če je treba zaradi dobička ali izgube določeni znesek vrniti, se obresti nanj zaračunavajo zgolj po izteku roka, določenega v zahtevku za vračilo.</w:t>
      </w:r>
    </w:p>
    <w:p w:rsidR="00A479E2" w:rsidRPr="006B39A2" w:rsidRDefault="00A479E2" w:rsidP="00A479E2">
      <w:pPr>
        <w:pStyle w:val="Testonotadichiusura"/>
        <w:rPr>
          <w:lang w:val="sl-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cimaWE Rg">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45" w:rsidRDefault="001B3545" w:rsidP="00737C85">
      <w:r>
        <w:separator/>
      </w:r>
    </w:p>
  </w:footnote>
  <w:footnote w:type="continuationSeparator" w:id="0">
    <w:p w:rsidR="001B3545" w:rsidRDefault="001B3545" w:rsidP="00737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3618"/>
    <w:multiLevelType w:val="hybridMultilevel"/>
    <w:tmpl w:val="2B3AC0F0"/>
    <w:lvl w:ilvl="0" w:tplc="99A843FA">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8UBcMNvYRGIU1Qih289QyLZ6O9k=" w:salt="qSrXJaXTSkfXv7tgHW6mwQ=="/>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D1"/>
    <w:rsid w:val="00013205"/>
    <w:rsid w:val="00035CF4"/>
    <w:rsid w:val="00050C70"/>
    <w:rsid w:val="0008575F"/>
    <w:rsid w:val="000B4CEE"/>
    <w:rsid w:val="001234A8"/>
    <w:rsid w:val="00183D6E"/>
    <w:rsid w:val="001B3545"/>
    <w:rsid w:val="0025196B"/>
    <w:rsid w:val="003E0AD6"/>
    <w:rsid w:val="00451610"/>
    <w:rsid w:val="004A09DC"/>
    <w:rsid w:val="00561D38"/>
    <w:rsid w:val="005B18CF"/>
    <w:rsid w:val="00634800"/>
    <w:rsid w:val="006D5B85"/>
    <w:rsid w:val="007234EA"/>
    <w:rsid w:val="00737C85"/>
    <w:rsid w:val="00850E2C"/>
    <w:rsid w:val="008E6717"/>
    <w:rsid w:val="00955BBB"/>
    <w:rsid w:val="009B4779"/>
    <w:rsid w:val="009C19F2"/>
    <w:rsid w:val="009D05DB"/>
    <w:rsid w:val="00A23ED1"/>
    <w:rsid w:val="00A479E2"/>
    <w:rsid w:val="00AF5972"/>
    <w:rsid w:val="00B0459E"/>
    <w:rsid w:val="00B65503"/>
    <w:rsid w:val="00B6557A"/>
    <w:rsid w:val="00B96E21"/>
    <w:rsid w:val="00BD70AC"/>
    <w:rsid w:val="00C04140"/>
    <w:rsid w:val="00C069BD"/>
    <w:rsid w:val="00CD49D4"/>
    <w:rsid w:val="00D3568A"/>
    <w:rsid w:val="00DF0FD0"/>
    <w:rsid w:val="00DF174A"/>
    <w:rsid w:val="00EA4031"/>
    <w:rsid w:val="00EF18F0"/>
    <w:rsid w:val="00F2348F"/>
    <w:rsid w:val="00F36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ED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3ED1"/>
    <w:pPr>
      <w:ind w:left="720"/>
      <w:contextualSpacing/>
    </w:pPr>
  </w:style>
  <w:style w:type="table" w:styleId="Grigliatabella">
    <w:name w:val="Table Grid"/>
    <w:basedOn w:val="Tabellanormale"/>
    <w:rsid w:val="0073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37C85"/>
    <w:pPr>
      <w:widowControl w:val="0"/>
      <w:suppressAutoHyphens/>
      <w:autoSpaceDN w:val="0"/>
      <w:spacing w:after="0" w:line="240" w:lineRule="auto"/>
      <w:ind w:left="1440"/>
      <w:jc w:val="both"/>
      <w:textAlignment w:val="baseline"/>
    </w:pPr>
    <w:rPr>
      <w:rFonts w:ascii="Times New Roman" w:eastAsia="SimSun" w:hAnsi="Times New Roman" w:cs="Mangal"/>
      <w:kern w:val="3"/>
      <w:sz w:val="24"/>
      <w:szCs w:val="24"/>
      <w:lang w:val="sl-SI" w:eastAsia="zh-CN" w:bidi="hi-IN"/>
    </w:rPr>
  </w:style>
  <w:style w:type="paragraph" w:styleId="Testonotadichiusura">
    <w:name w:val="endnote text"/>
    <w:basedOn w:val="Normale"/>
    <w:link w:val="TestonotadichiusuraCarattere"/>
    <w:uiPriority w:val="99"/>
    <w:semiHidden/>
    <w:unhideWhenUsed/>
    <w:rsid w:val="00737C85"/>
    <w:rPr>
      <w:sz w:val="20"/>
      <w:szCs w:val="20"/>
    </w:rPr>
  </w:style>
  <w:style w:type="character" w:customStyle="1" w:styleId="TestonotadichiusuraCarattere">
    <w:name w:val="Testo nota di chiusura Carattere"/>
    <w:basedOn w:val="Carpredefinitoparagrafo"/>
    <w:link w:val="Testonotadichiusura"/>
    <w:uiPriority w:val="99"/>
    <w:semiHidden/>
    <w:rsid w:val="00737C85"/>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737C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ED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3ED1"/>
    <w:pPr>
      <w:ind w:left="720"/>
      <w:contextualSpacing/>
    </w:pPr>
  </w:style>
  <w:style w:type="table" w:styleId="Grigliatabella">
    <w:name w:val="Table Grid"/>
    <w:basedOn w:val="Tabellanormale"/>
    <w:rsid w:val="0073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37C85"/>
    <w:pPr>
      <w:widowControl w:val="0"/>
      <w:suppressAutoHyphens/>
      <w:autoSpaceDN w:val="0"/>
      <w:spacing w:after="0" w:line="240" w:lineRule="auto"/>
      <w:ind w:left="1440"/>
      <w:jc w:val="both"/>
      <w:textAlignment w:val="baseline"/>
    </w:pPr>
    <w:rPr>
      <w:rFonts w:ascii="Times New Roman" w:eastAsia="SimSun" w:hAnsi="Times New Roman" w:cs="Mangal"/>
      <w:kern w:val="3"/>
      <w:sz w:val="24"/>
      <w:szCs w:val="24"/>
      <w:lang w:val="sl-SI" w:eastAsia="zh-CN" w:bidi="hi-IN"/>
    </w:rPr>
  </w:style>
  <w:style w:type="paragraph" w:styleId="Testonotadichiusura">
    <w:name w:val="endnote text"/>
    <w:basedOn w:val="Normale"/>
    <w:link w:val="TestonotadichiusuraCarattere"/>
    <w:uiPriority w:val="99"/>
    <w:semiHidden/>
    <w:unhideWhenUsed/>
    <w:rsid w:val="00737C85"/>
    <w:rPr>
      <w:sz w:val="20"/>
      <w:szCs w:val="20"/>
    </w:rPr>
  </w:style>
  <w:style w:type="character" w:customStyle="1" w:styleId="TestonotadichiusuraCarattere">
    <w:name w:val="Testo nota di chiusura Carattere"/>
    <w:basedOn w:val="Carpredefinitoparagrafo"/>
    <w:link w:val="Testonotadichiusura"/>
    <w:uiPriority w:val="99"/>
    <w:semiHidden/>
    <w:rsid w:val="00737C85"/>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737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865</Words>
  <Characters>4933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Velise Aleksandra</dc:creator>
  <cp:lastModifiedBy>Velise Aleksandra</cp:lastModifiedBy>
  <cp:revision>30</cp:revision>
  <cp:lastPrinted>2015-11-27T13:15:00Z</cp:lastPrinted>
  <dcterms:created xsi:type="dcterms:W3CDTF">2015-11-25T14:00:00Z</dcterms:created>
  <dcterms:modified xsi:type="dcterms:W3CDTF">2015-12-09T10:23:00Z</dcterms:modified>
</cp:coreProperties>
</file>