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CA" w:rsidRPr="00786882" w:rsidRDefault="00BB33CA" w:rsidP="00BB33CA">
      <w:pPr>
        <w:rPr>
          <w:rFonts w:ascii="DecimaWE Rg" w:hAnsi="DecimaWE Rg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3CA" w:rsidRPr="0061755C" w:rsidTr="005C1635">
        <w:tc>
          <w:tcPr>
            <w:tcW w:w="9778" w:type="dxa"/>
            <w:shd w:val="clear" w:color="auto" w:fill="auto"/>
          </w:tcPr>
          <w:p w:rsidR="00BB33CA" w:rsidRPr="0061755C" w:rsidRDefault="00BB33CA" w:rsidP="005C16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  <w:b/>
              </w:rPr>
            </w:pPr>
          </w:p>
          <w:p w:rsidR="00BB33CA" w:rsidRDefault="00BB33CA" w:rsidP="005C16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  <w:b/>
                <w:sz w:val="32"/>
                <w:szCs w:val="32"/>
              </w:rPr>
            </w:pPr>
            <w:r w:rsidRPr="00165276">
              <w:rPr>
                <w:rFonts w:ascii="DecimaWE Rg" w:hAnsi="DecimaWE Rg"/>
                <w:b/>
                <w:sz w:val="28"/>
                <w:szCs w:val="28"/>
              </w:rPr>
              <w:t xml:space="preserve">ALLEGATO / </w:t>
            </w:r>
            <w:r w:rsidRPr="00165276">
              <w:rPr>
                <w:rFonts w:ascii="DecimaWE Rg" w:hAnsi="DecimaWE Rg"/>
                <w:b/>
                <w:i/>
                <w:sz w:val="28"/>
                <w:szCs w:val="28"/>
              </w:rPr>
              <w:t>PRILOGA</w:t>
            </w:r>
            <w:r w:rsidRPr="0061755C">
              <w:rPr>
                <w:rFonts w:ascii="DecimaWE Rg" w:hAnsi="DecimaWE Rg"/>
                <w:b/>
              </w:rPr>
              <w:t xml:space="preserve"> </w:t>
            </w:r>
            <w:r w:rsidRPr="0005471A">
              <w:rPr>
                <w:rFonts w:ascii="DecimaWE Rg" w:hAnsi="DecimaWE Rg"/>
                <w:b/>
                <w:sz w:val="32"/>
                <w:szCs w:val="32"/>
              </w:rPr>
              <w:t>A1</w:t>
            </w:r>
          </w:p>
          <w:p w:rsidR="002C463C" w:rsidRPr="0061755C" w:rsidRDefault="002C463C" w:rsidP="005C16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  <w:b/>
              </w:rPr>
            </w:pPr>
          </w:p>
          <w:p w:rsidR="002C463C" w:rsidRDefault="002C463C" w:rsidP="002C463C">
            <w:pPr>
              <w:pStyle w:val="Paragrafoelenco"/>
              <w:ind w:left="0"/>
              <w:jc w:val="both"/>
              <w:rPr>
                <w:rFonts w:ascii="DecimaWE Rg" w:hAnsi="DecimaWE Rg"/>
                <w:sz w:val="16"/>
                <w:szCs w:val="16"/>
              </w:rPr>
            </w:pPr>
            <w:r w:rsidRPr="00DD5160">
              <w:rPr>
                <w:rFonts w:ascii="DecimaWE Rg" w:hAnsi="DecimaWE Rg"/>
                <w:sz w:val="16"/>
                <w:szCs w:val="16"/>
                <w:lang w:val="sl-SI"/>
              </w:rPr>
              <w:t>D</w:t>
            </w:r>
            <w:r w:rsidRPr="00DD5160">
              <w:rPr>
                <w:rFonts w:ascii="DecimaWE Rg" w:hAnsi="DecimaWE Rg"/>
                <w:sz w:val="16"/>
                <w:szCs w:val="16"/>
              </w:rPr>
              <w:t>a compilare a cura dell</w:t>
            </w:r>
            <w:r>
              <w:rPr>
                <w:rFonts w:ascii="DecimaWE Rg" w:hAnsi="DecimaWE Rg"/>
                <w:sz w:val="16"/>
                <w:szCs w:val="16"/>
              </w:rPr>
              <w:t xml:space="preserve">’ente proponente, il quale deve essere, </w:t>
            </w:r>
            <w:r w:rsidRPr="00DD5160">
              <w:rPr>
                <w:rFonts w:ascii="DecimaWE Rg" w:hAnsi="DecimaWE Rg"/>
                <w:sz w:val="16"/>
                <w:szCs w:val="16"/>
              </w:rPr>
              <w:t>ai sensi dell’</w:t>
            </w:r>
            <w:r>
              <w:rPr>
                <w:rFonts w:ascii="DecimaWE Rg" w:hAnsi="DecimaWE Rg"/>
                <w:sz w:val="16"/>
                <w:szCs w:val="16"/>
              </w:rPr>
              <w:t xml:space="preserve">art. 8, c. 1, del Regolamento, </w:t>
            </w:r>
            <w:r w:rsidRPr="00B572C2">
              <w:rPr>
                <w:rFonts w:ascii="DecimaWE Rg" w:hAnsi="DecimaWE Rg"/>
                <w:i/>
                <w:sz w:val="16"/>
                <w:szCs w:val="16"/>
              </w:rPr>
              <w:t xml:space="preserve">un </w:t>
            </w:r>
            <w:r w:rsidRPr="00B572C2">
              <w:rPr>
                <w:rFonts w:ascii="DecimaWE Rg" w:hAnsi="DecimaWE Rg"/>
                <w:b/>
                <w:i/>
                <w:sz w:val="16"/>
                <w:szCs w:val="16"/>
              </w:rPr>
              <w:t xml:space="preserve">ente o organizzazione </w:t>
            </w:r>
            <w:r w:rsidRPr="00B572C2">
              <w:rPr>
                <w:rFonts w:ascii="DecimaWE Rg" w:hAnsi="DecimaWE Rg"/>
                <w:i/>
                <w:sz w:val="16"/>
                <w:szCs w:val="16"/>
              </w:rPr>
              <w:t xml:space="preserve"> </w:t>
            </w:r>
            <w:r w:rsidRPr="00B572C2">
              <w:rPr>
                <w:rFonts w:ascii="DecimaWE Rg" w:hAnsi="DecimaWE Rg"/>
                <w:b/>
                <w:i/>
                <w:sz w:val="16"/>
                <w:szCs w:val="16"/>
              </w:rPr>
              <w:t>minore</w:t>
            </w:r>
            <w:r w:rsidRPr="00B572C2">
              <w:rPr>
                <w:rFonts w:ascii="DecimaWE Rg" w:hAnsi="DecimaWE Rg"/>
                <w:i/>
                <w:sz w:val="16"/>
                <w:szCs w:val="16"/>
              </w:rPr>
              <w:t xml:space="preserve"> della minoranza slovena</w:t>
            </w:r>
            <w:r>
              <w:rPr>
                <w:rFonts w:ascii="DecimaWE Rg" w:hAnsi="DecimaWE Rg"/>
                <w:i/>
                <w:sz w:val="16"/>
                <w:szCs w:val="16"/>
              </w:rPr>
              <w:t>, iscritto all’Albo delle organizzazioni della minoranza slovena di cui all’art. 5 della L.R. 26/2007,</w:t>
            </w:r>
            <w:r w:rsidRPr="00B572C2">
              <w:rPr>
                <w:rFonts w:ascii="DecimaWE Rg" w:hAnsi="DecimaWE Rg"/>
                <w:i/>
                <w:sz w:val="16"/>
                <w:szCs w:val="16"/>
              </w:rPr>
              <w:t xml:space="preserve"> che organizza in maniera prevalente </w:t>
            </w:r>
            <w:r w:rsidRPr="00B572C2">
              <w:rPr>
                <w:rFonts w:ascii="DecimaWE Rg" w:hAnsi="DecimaWE Rg"/>
                <w:b/>
                <w:i/>
                <w:sz w:val="16"/>
                <w:szCs w:val="16"/>
              </w:rPr>
              <w:t>attività e servizi educativi</w:t>
            </w:r>
            <w:r w:rsidRPr="00B572C2">
              <w:rPr>
                <w:rFonts w:ascii="DecimaWE Rg" w:hAnsi="DecimaWE Rg"/>
                <w:i/>
                <w:sz w:val="16"/>
                <w:szCs w:val="16"/>
              </w:rPr>
              <w:t>, quali il funzionamento di doposcuola e centri estivi in lingua slovena, e promuove lo sviluppo degli scambi culturali e delle attività giovanili anche transfrontaliere</w:t>
            </w:r>
            <w:r>
              <w:rPr>
                <w:rFonts w:ascii="DecimaWE Rg" w:hAnsi="DecimaWE Rg"/>
                <w:sz w:val="16"/>
                <w:szCs w:val="16"/>
              </w:rPr>
              <w:t xml:space="preserve"> (art.18, c. 9, della L.R. 26/2007).</w:t>
            </w:r>
          </w:p>
          <w:p w:rsidR="00BB33CA" w:rsidRPr="0061755C" w:rsidRDefault="002C463C" w:rsidP="00B524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b/>
                <w:sz w:val="20"/>
                <w:lang w:val="de-DE"/>
              </w:rPr>
            </w:pPr>
            <w:r w:rsidRPr="00FE2C9A">
              <w:rPr>
                <w:rFonts w:ascii="DecimaWE Rg" w:hAnsi="DecimaWE Rg"/>
                <w:i/>
                <w:sz w:val="16"/>
                <w:szCs w:val="16"/>
                <w:lang w:val="sl-SI"/>
              </w:rPr>
              <w:t xml:space="preserve">Preglednico izpolni ustanova </w:t>
            </w:r>
            <w:r w:rsidR="00B524B8">
              <w:rPr>
                <w:rFonts w:ascii="DecimaWE Rg" w:hAnsi="DecimaWE Rg"/>
                <w:i/>
                <w:sz w:val="16"/>
                <w:szCs w:val="16"/>
                <w:lang w:val="sl-SI"/>
              </w:rPr>
              <w:t>predlagateljica</w:t>
            </w:r>
            <w:r w:rsidRPr="00FE2C9A">
              <w:rPr>
                <w:rFonts w:ascii="DecimaWE Rg" w:hAnsi="DecimaWE Rg"/>
                <w:i/>
                <w:sz w:val="16"/>
                <w:szCs w:val="16"/>
                <w:lang w:val="sl-SI"/>
              </w:rPr>
              <w:t xml:space="preserve">, ki mora </w:t>
            </w:r>
            <w:r>
              <w:rPr>
                <w:rFonts w:ascii="DecimaWE Rg" w:hAnsi="DecimaWE Rg"/>
                <w:i/>
                <w:sz w:val="16"/>
                <w:szCs w:val="16"/>
                <w:lang w:val="sl-SI"/>
              </w:rPr>
              <w:t>po prvem odstavku</w:t>
            </w:r>
            <w:r w:rsidRPr="00FE2C9A">
              <w:rPr>
                <w:rFonts w:ascii="DecimaWE Rg" w:hAnsi="DecimaWE Rg"/>
                <w:i/>
                <w:sz w:val="16"/>
                <w:szCs w:val="16"/>
                <w:lang w:val="sl-SI"/>
              </w:rPr>
              <w:t xml:space="preserve"> 8</w:t>
            </w:r>
            <w:r>
              <w:rPr>
                <w:rFonts w:ascii="DecimaWE Rg" w:hAnsi="DecimaWE Rg"/>
                <w:i/>
                <w:sz w:val="16"/>
                <w:szCs w:val="16"/>
                <w:lang w:val="sl-SI"/>
              </w:rPr>
              <w:t xml:space="preserve">. člena Pravilnika </w:t>
            </w:r>
            <w:r w:rsidRPr="00FE2C9A">
              <w:rPr>
                <w:rFonts w:ascii="DecimaWE Rg" w:hAnsi="DecimaWE Rg"/>
                <w:i/>
                <w:sz w:val="16"/>
                <w:szCs w:val="16"/>
                <w:lang w:val="sl-SI"/>
              </w:rPr>
              <w:t xml:space="preserve">biti </w:t>
            </w:r>
            <w:r w:rsidRPr="00932C67">
              <w:rPr>
                <w:rFonts w:ascii="DecimaWE Rg" w:hAnsi="DecimaWE Rg"/>
                <w:b/>
                <w:i/>
                <w:sz w:val="16"/>
                <w:szCs w:val="16"/>
                <w:lang w:val="sl-SI"/>
              </w:rPr>
              <w:t>manjša ustanova ali organizacija slovenske manjšine</w:t>
            </w:r>
            <w:r w:rsidRPr="00FE2C9A">
              <w:rPr>
                <w:rFonts w:ascii="DecimaWE Rg" w:hAnsi="DecimaWE Rg"/>
                <w:i/>
                <w:sz w:val="16"/>
                <w:szCs w:val="16"/>
                <w:lang w:val="sl-SI"/>
              </w:rPr>
              <w:t xml:space="preserve">, vpisana v register iz 5. člena D.Z. št. 26/2007, katere delovanje zajema pretežno </w:t>
            </w:r>
            <w:r w:rsidRPr="00932C67">
              <w:rPr>
                <w:rFonts w:ascii="DecimaWE Rg" w:hAnsi="DecimaWE Rg"/>
                <w:b/>
                <w:i/>
                <w:sz w:val="16"/>
                <w:szCs w:val="16"/>
                <w:lang w:val="sl-SI"/>
              </w:rPr>
              <w:t>vzgojno dejavnost in vzgojne storitve</w:t>
            </w:r>
            <w:r w:rsidRPr="00FE2C9A">
              <w:rPr>
                <w:rFonts w:ascii="DecimaWE Rg" w:hAnsi="DecimaWE Rg"/>
                <w:i/>
                <w:sz w:val="16"/>
                <w:szCs w:val="16"/>
                <w:lang w:val="sl-SI"/>
              </w:rPr>
              <w:t xml:space="preserve">, kakršne so na primer popoldansko varstvo otrok in poletna središča v slovenskem jeziku, ter spodbujanje kulturnih izmenjav in mladinskih dejavnosti tudi na čezmejni ravni </w:t>
            </w:r>
            <w:r>
              <w:rPr>
                <w:rFonts w:ascii="DecimaWE Rg" w:hAnsi="DecimaWE Rg"/>
                <w:i/>
                <w:sz w:val="16"/>
                <w:szCs w:val="16"/>
                <w:lang w:val="sl-SI"/>
              </w:rPr>
              <w:t>(9. odst.</w:t>
            </w:r>
            <w:r w:rsidRPr="00FE2C9A">
              <w:rPr>
                <w:rFonts w:ascii="DecimaWE Rg" w:hAnsi="DecimaWE Rg"/>
                <w:i/>
                <w:sz w:val="16"/>
                <w:szCs w:val="16"/>
                <w:lang w:val="sl-SI"/>
              </w:rPr>
              <w:t xml:space="preserve"> 18. člena D.Z. št. 26/2007</w:t>
            </w:r>
            <w:r>
              <w:rPr>
                <w:rFonts w:ascii="DecimaWE Rg" w:hAnsi="DecimaWE Rg"/>
                <w:i/>
                <w:sz w:val="16"/>
                <w:szCs w:val="16"/>
                <w:lang w:val="sl-SI"/>
              </w:rPr>
              <w:t>).</w:t>
            </w:r>
          </w:p>
        </w:tc>
      </w:tr>
    </w:tbl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57F83" w:rsidTr="00757F83">
        <w:tc>
          <w:tcPr>
            <w:tcW w:w="4889" w:type="dxa"/>
          </w:tcPr>
          <w:p w:rsidR="00757F83" w:rsidRPr="00787E5E" w:rsidRDefault="00757F83" w:rsidP="00757F83">
            <w:pPr>
              <w:spacing w:before="60"/>
              <w:jc w:val="both"/>
              <w:rPr>
                <w:rFonts w:ascii="DecimaWE Rg" w:hAnsi="DecimaWE Rg"/>
                <w:b/>
                <w:color w:val="000000"/>
                <w:sz w:val="14"/>
                <w:szCs w:val="14"/>
              </w:rPr>
            </w:pPr>
            <w:r w:rsidRPr="00787E5E">
              <w:rPr>
                <w:rFonts w:ascii="DecimaWE Rg" w:hAnsi="DecimaWE Rg"/>
                <w:b/>
                <w:color w:val="000000"/>
                <w:sz w:val="14"/>
                <w:szCs w:val="14"/>
              </w:rPr>
              <w:t>Riferimento normativo</w:t>
            </w:r>
          </w:p>
        </w:tc>
        <w:tc>
          <w:tcPr>
            <w:tcW w:w="4889" w:type="dxa"/>
          </w:tcPr>
          <w:p w:rsidR="00757F83" w:rsidRPr="00787E5E" w:rsidRDefault="00757F83" w:rsidP="00757F83">
            <w:pPr>
              <w:spacing w:before="60"/>
              <w:jc w:val="both"/>
              <w:rPr>
                <w:rFonts w:ascii="DecimaWE Rg" w:hAnsi="DecimaWE Rg"/>
                <w:b/>
                <w:i/>
                <w:color w:val="000000"/>
                <w:sz w:val="14"/>
                <w:szCs w:val="14"/>
                <w:lang w:val="sl-SI"/>
              </w:rPr>
            </w:pPr>
            <w:r w:rsidRPr="00787E5E">
              <w:rPr>
                <w:rFonts w:ascii="DecimaWE Rg" w:hAnsi="DecimaWE Rg"/>
                <w:b/>
                <w:i/>
                <w:color w:val="000000"/>
                <w:sz w:val="14"/>
                <w:szCs w:val="14"/>
                <w:lang w:val="sl-SI"/>
              </w:rPr>
              <w:t>Pravna podlaga</w:t>
            </w:r>
            <w:r w:rsidRPr="00787E5E">
              <w:rPr>
                <w:rFonts w:ascii="DecimaWE Rg" w:hAnsi="DecimaWE Rg"/>
                <w:b/>
                <w:color w:val="000000"/>
                <w:sz w:val="14"/>
                <w:szCs w:val="14"/>
                <w:lang w:val="sl-SI"/>
              </w:rPr>
              <w:t>:</w:t>
            </w:r>
          </w:p>
        </w:tc>
      </w:tr>
      <w:tr w:rsidR="00757F83" w:rsidTr="00757F83">
        <w:tc>
          <w:tcPr>
            <w:tcW w:w="4889" w:type="dxa"/>
          </w:tcPr>
          <w:p w:rsidR="00757F83" w:rsidRPr="00787E5E" w:rsidRDefault="00757F83" w:rsidP="00B524B8">
            <w:pPr>
              <w:spacing w:before="60"/>
              <w:jc w:val="both"/>
              <w:rPr>
                <w:rFonts w:ascii="DecimaWE Rg" w:hAnsi="DecimaWE Rg"/>
                <w:color w:val="000000"/>
                <w:sz w:val="14"/>
                <w:szCs w:val="14"/>
              </w:rPr>
            </w:pPr>
            <w:r w:rsidRPr="00787E5E">
              <w:rPr>
                <w:rFonts w:ascii="DecimaWE Rg" w:hAnsi="DecimaWE Rg"/>
                <w:color w:val="000000"/>
                <w:sz w:val="14"/>
                <w:szCs w:val="14"/>
              </w:rPr>
              <w:t xml:space="preserve">Regolamento per la concessione dei contributi a favore di enti e organizzazioni della minoranza linguistica slovena, di cui all’articolo 18, comma 12, della legge regionale 16 novembre 2007, n. 26 (Norme regionali per la tutela della minoranza linguistica slovena), </w:t>
            </w:r>
            <w:r w:rsidR="000B015B" w:rsidRPr="003C7754">
              <w:rPr>
                <w:rFonts w:ascii="DecimaWE Rg" w:hAnsi="DecimaWE Rg"/>
                <w:color w:val="000000"/>
                <w:sz w:val="14"/>
                <w:szCs w:val="14"/>
              </w:rPr>
              <w:t xml:space="preserve"> emanato con DPReg. 246 del 25/11/2015</w:t>
            </w:r>
            <w:r w:rsidR="000B015B">
              <w:rPr>
                <w:rFonts w:ascii="DecimaWE Rg" w:hAnsi="DecimaWE Rg"/>
                <w:color w:val="000000"/>
                <w:sz w:val="14"/>
                <w:szCs w:val="14"/>
              </w:rPr>
              <w:t xml:space="preserve">, </w:t>
            </w:r>
            <w:r w:rsidRPr="00787E5E">
              <w:rPr>
                <w:rFonts w:ascii="DecimaWE Rg" w:hAnsi="DecimaWE Rg"/>
                <w:color w:val="000000"/>
                <w:sz w:val="14"/>
                <w:szCs w:val="14"/>
              </w:rPr>
              <w:t>qui di seguito denominato Regolamento.</w:t>
            </w:r>
          </w:p>
        </w:tc>
        <w:tc>
          <w:tcPr>
            <w:tcW w:w="4889" w:type="dxa"/>
          </w:tcPr>
          <w:p w:rsidR="00757F83" w:rsidRPr="00B524B8" w:rsidRDefault="00757F83" w:rsidP="00B524B8">
            <w:pPr>
              <w:spacing w:before="60"/>
              <w:jc w:val="both"/>
              <w:rPr>
                <w:rFonts w:ascii="DecimaWE Rg" w:hAnsi="DecimaWE Rg"/>
                <w:color w:val="000000"/>
                <w:sz w:val="14"/>
                <w:szCs w:val="14"/>
                <w:lang w:val="sl-SI"/>
              </w:rPr>
            </w:pPr>
            <w:r w:rsidRPr="00787E5E">
              <w:rPr>
                <w:rFonts w:ascii="DecimaWE Rg" w:hAnsi="DecimaWE Rg"/>
                <w:i/>
                <w:color w:val="000000"/>
                <w:sz w:val="14"/>
                <w:szCs w:val="14"/>
                <w:lang w:val="sl-SI"/>
              </w:rPr>
              <w:t xml:space="preserve">Pravilnik o dodeljevanju prispevkov ustanovam in organizacijam slovenske jezikovne manjšine po dvanajstem odstavku 18. člena deželnega zakona št. 26 z dne 16 novembra 2007 (Deželni predpisi za zaščito </w:t>
            </w:r>
            <w:r w:rsidRPr="000B015B">
              <w:rPr>
                <w:rFonts w:ascii="DecimaWE Rg" w:hAnsi="DecimaWE Rg"/>
                <w:i/>
                <w:color w:val="000000"/>
                <w:sz w:val="14"/>
                <w:szCs w:val="14"/>
                <w:lang w:val="sl-SI"/>
              </w:rPr>
              <w:t>slovenske manjšine)</w:t>
            </w:r>
            <w:r w:rsidR="000B015B" w:rsidRPr="000B015B">
              <w:rPr>
                <w:rFonts w:ascii="DecimaWE Rg" w:hAnsi="DecimaWE Rg"/>
                <w:i/>
                <w:color w:val="000000"/>
                <w:sz w:val="14"/>
                <w:szCs w:val="14"/>
                <w:lang w:val="sl-SI"/>
              </w:rPr>
              <w:t>, ki je bil izdan z O.P.Dež. št. 246 z dne 25. 11. 2015,</w:t>
            </w:r>
            <w:r w:rsidRPr="000B015B">
              <w:rPr>
                <w:rFonts w:ascii="DecimaWE Rg" w:hAnsi="DecimaWE Rg"/>
                <w:i/>
                <w:color w:val="000000"/>
                <w:sz w:val="14"/>
                <w:szCs w:val="14"/>
                <w:lang w:val="sl-SI"/>
              </w:rPr>
              <w:t xml:space="preserve"> v nadaljevanju: </w:t>
            </w:r>
            <w:r w:rsidR="00B524B8">
              <w:rPr>
                <w:rFonts w:ascii="DecimaWE Rg" w:hAnsi="DecimaWE Rg"/>
                <w:i/>
                <w:color w:val="000000"/>
                <w:sz w:val="14"/>
                <w:szCs w:val="14"/>
                <w:lang w:val="sl-SI"/>
              </w:rPr>
              <w:t>P</w:t>
            </w:r>
            <w:r w:rsidRPr="000B015B">
              <w:rPr>
                <w:rFonts w:ascii="DecimaWE Rg" w:hAnsi="DecimaWE Rg"/>
                <w:i/>
                <w:color w:val="000000"/>
                <w:sz w:val="14"/>
                <w:szCs w:val="14"/>
                <w:lang w:val="sl-SI"/>
              </w:rPr>
              <w:t>ravilnik.</w:t>
            </w:r>
          </w:p>
        </w:tc>
      </w:tr>
    </w:tbl>
    <w:p w:rsidR="00850C15" w:rsidRDefault="00850C15" w:rsidP="00BB33CA">
      <w:pPr>
        <w:pStyle w:val="Paragrafoelenco"/>
        <w:jc w:val="center"/>
        <w:rPr>
          <w:rFonts w:ascii="DecimaWE Rg" w:hAnsi="DecimaWE Rg"/>
          <w:b/>
        </w:rPr>
      </w:pPr>
    </w:p>
    <w:p w:rsidR="00672C42" w:rsidRPr="006224DE" w:rsidRDefault="00672C42" w:rsidP="00BB33CA">
      <w:pPr>
        <w:pStyle w:val="Paragrafoelenco"/>
        <w:jc w:val="center"/>
        <w:rPr>
          <w:rFonts w:ascii="DecimaWE Rg" w:hAnsi="DecimaWE Rg"/>
          <w:b/>
          <w:sz w:val="32"/>
          <w:szCs w:val="32"/>
        </w:rPr>
      </w:pPr>
    </w:p>
    <w:p w:rsidR="00BB33CA" w:rsidRPr="006224DE" w:rsidRDefault="00BB33CA" w:rsidP="00C074B1">
      <w:pPr>
        <w:pStyle w:val="Paragrafoelenco"/>
        <w:ind w:left="0"/>
        <w:jc w:val="center"/>
        <w:rPr>
          <w:rFonts w:ascii="DecimaWE Rg" w:hAnsi="DecimaWE Rg"/>
          <w:b/>
          <w:sz w:val="32"/>
          <w:szCs w:val="32"/>
        </w:rPr>
      </w:pPr>
      <w:r w:rsidRPr="006224DE">
        <w:rPr>
          <w:rFonts w:ascii="DecimaWE Rg" w:hAnsi="DecimaWE Rg"/>
          <w:b/>
          <w:sz w:val="32"/>
          <w:szCs w:val="32"/>
        </w:rPr>
        <w:t xml:space="preserve">PROGRAMMA DELL’ATTIVITÀ RIFERITA ALL’ANNUALITÀ </w:t>
      </w:r>
    </w:p>
    <w:p w:rsidR="00BB33CA" w:rsidRPr="006224DE" w:rsidRDefault="00BB33CA" w:rsidP="00C074B1">
      <w:pPr>
        <w:pStyle w:val="Paragrafoelenco"/>
        <w:ind w:left="0"/>
        <w:jc w:val="center"/>
        <w:rPr>
          <w:rFonts w:ascii="DecimaWE Rg" w:hAnsi="DecimaWE Rg"/>
          <w:b/>
          <w:i/>
          <w:sz w:val="32"/>
          <w:szCs w:val="32"/>
          <w:lang w:val="sl-SI"/>
        </w:rPr>
      </w:pPr>
      <w:r w:rsidRPr="006224DE">
        <w:rPr>
          <w:rFonts w:ascii="DecimaWE Rg" w:hAnsi="DecimaWE Rg"/>
          <w:b/>
          <w:sz w:val="32"/>
          <w:szCs w:val="32"/>
        </w:rPr>
        <w:t>PER LA QUALE È RICHIESTO IL CONTRIBUTO</w:t>
      </w:r>
      <w:r w:rsidRPr="006224DE">
        <w:rPr>
          <w:rFonts w:ascii="DecimaWE Rg" w:hAnsi="DecimaWE Rg"/>
          <w:b/>
          <w:i/>
          <w:sz w:val="32"/>
          <w:szCs w:val="32"/>
          <w:lang w:val="sl-SI"/>
        </w:rPr>
        <w:t xml:space="preserve"> </w:t>
      </w:r>
    </w:p>
    <w:p w:rsidR="00BB33CA" w:rsidRPr="006224DE" w:rsidRDefault="00BB33CA" w:rsidP="00541F58">
      <w:pPr>
        <w:pStyle w:val="Paragrafoelenco"/>
        <w:ind w:left="0"/>
        <w:jc w:val="center"/>
        <w:rPr>
          <w:rFonts w:ascii="DecimaWE Rg" w:hAnsi="DecimaWE Rg"/>
          <w:b/>
          <w:i/>
          <w:sz w:val="32"/>
          <w:szCs w:val="32"/>
          <w:lang w:val="sl-SI"/>
        </w:rPr>
      </w:pPr>
      <w:r w:rsidRPr="006224DE">
        <w:rPr>
          <w:rFonts w:ascii="DecimaWE Rg" w:hAnsi="DecimaWE Rg"/>
          <w:b/>
          <w:i/>
          <w:sz w:val="32"/>
          <w:szCs w:val="32"/>
          <w:lang w:val="sl-SI"/>
        </w:rPr>
        <w:t>PROGRAM DE</w:t>
      </w:r>
      <w:r w:rsidR="009E5D37" w:rsidRPr="006224DE">
        <w:rPr>
          <w:rFonts w:ascii="DecimaWE Rg" w:hAnsi="DecimaWE Rg"/>
          <w:b/>
          <w:i/>
          <w:sz w:val="32"/>
          <w:szCs w:val="32"/>
          <w:lang w:val="sl-SI"/>
        </w:rPr>
        <w:t>JAVNOSTI</w:t>
      </w:r>
      <w:r w:rsidRPr="006224DE">
        <w:rPr>
          <w:rFonts w:ascii="DecimaWE Rg" w:hAnsi="DecimaWE Rg"/>
          <w:b/>
          <w:i/>
          <w:sz w:val="32"/>
          <w:szCs w:val="32"/>
          <w:lang w:val="sl-SI"/>
        </w:rPr>
        <w:t xml:space="preserve"> ZA LETO, </w:t>
      </w:r>
      <w:r w:rsidR="00295C6B" w:rsidRPr="006224DE">
        <w:rPr>
          <w:rFonts w:ascii="DecimaWE Rg" w:hAnsi="DecimaWE Rg"/>
          <w:b/>
          <w:i/>
          <w:sz w:val="32"/>
          <w:szCs w:val="32"/>
          <w:lang w:val="sl-SI"/>
        </w:rPr>
        <w:t xml:space="preserve">ZA KATERO </w:t>
      </w:r>
      <w:r w:rsidR="00541F58" w:rsidRPr="006224DE">
        <w:rPr>
          <w:rFonts w:ascii="DecimaWE Rg" w:hAnsi="DecimaWE Rg"/>
          <w:b/>
          <w:i/>
          <w:sz w:val="32"/>
          <w:szCs w:val="32"/>
          <w:lang w:val="sl-SI"/>
        </w:rPr>
        <w:t>PROSI</w:t>
      </w:r>
      <w:r w:rsidR="00295C6B" w:rsidRPr="006224DE">
        <w:rPr>
          <w:rFonts w:ascii="DecimaWE Rg" w:hAnsi="DecimaWE Rg"/>
          <w:b/>
          <w:i/>
          <w:sz w:val="32"/>
          <w:szCs w:val="32"/>
          <w:lang w:val="sl-SI"/>
        </w:rPr>
        <w:t>TE</w:t>
      </w:r>
      <w:r w:rsidR="00541F58" w:rsidRPr="006224DE">
        <w:rPr>
          <w:rFonts w:ascii="DecimaWE Rg" w:hAnsi="DecimaWE Rg"/>
          <w:b/>
          <w:i/>
          <w:sz w:val="32"/>
          <w:szCs w:val="32"/>
          <w:lang w:val="sl-SI"/>
        </w:rPr>
        <w:t xml:space="preserve"> ZA PRISPEVEK</w:t>
      </w:r>
    </w:p>
    <w:p w:rsidR="00751030" w:rsidRDefault="00751030" w:rsidP="00541F58">
      <w:pPr>
        <w:pStyle w:val="Paragrafoelenco"/>
        <w:ind w:left="0"/>
        <w:jc w:val="center"/>
        <w:rPr>
          <w:rFonts w:ascii="DecimaWE Rg" w:hAnsi="DecimaWE Rg"/>
          <w:b/>
          <w:i/>
          <w:sz w:val="28"/>
          <w:szCs w:val="28"/>
          <w:lang w:val="sl-SI"/>
        </w:rPr>
      </w:pPr>
    </w:p>
    <w:p w:rsidR="006224DE" w:rsidRPr="00672C42" w:rsidRDefault="006224DE" w:rsidP="006224DE">
      <w:pPr>
        <w:spacing w:before="60"/>
        <w:jc w:val="both"/>
        <w:rPr>
          <w:rFonts w:ascii="DecimaWE Rg" w:hAnsi="DecimaWE Rg"/>
          <w:sz w:val="14"/>
          <w:szCs w:val="14"/>
        </w:rPr>
      </w:pPr>
      <w:r w:rsidRPr="00672C42">
        <w:rPr>
          <w:rFonts w:ascii="DecimaWE Rg" w:hAnsi="DecimaWE Rg"/>
          <w:sz w:val="14"/>
          <w:szCs w:val="14"/>
        </w:rPr>
        <w:t>Descrivere dettagliatamente</w:t>
      </w:r>
      <w:r w:rsidR="00F837FE">
        <w:rPr>
          <w:rFonts w:ascii="DecimaWE Rg" w:hAnsi="DecimaWE Rg"/>
          <w:sz w:val="14"/>
          <w:szCs w:val="14"/>
        </w:rPr>
        <w:t xml:space="preserve">, nel </w:t>
      </w:r>
      <w:r w:rsidRPr="00672C42">
        <w:rPr>
          <w:rFonts w:ascii="DecimaWE Rg" w:hAnsi="DecimaWE Rg"/>
          <w:sz w:val="14"/>
          <w:szCs w:val="14"/>
        </w:rPr>
        <w:t xml:space="preserve">riquadro sottostante o </w:t>
      </w:r>
      <w:r w:rsidR="00F837FE">
        <w:rPr>
          <w:rFonts w:ascii="DecimaWE Rg" w:hAnsi="DecimaWE Rg"/>
          <w:sz w:val="14"/>
          <w:szCs w:val="14"/>
        </w:rPr>
        <w:t>su foglio allegato,</w:t>
      </w:r>
      <w:r w:rsidRPr="00672C42">
        <w:rPr>
          <w:rFonts w:ascii="DecimaWE Rg" w:hAnsi="DecimaWE Rg"/>
          <w:sz w:val="14"/>
          <w:szCs w:val="14"/>
        </w:rPr>
        <w:t xml:space="preserve"> </w:t>
      </w:r>
      <w:r w:rsidR="00F837FE" w:rsidRPr="00672C42">
        <w:rPr>
          <w:rFonts w:ascii="DecimaWE Rg" w:hAnsi="DecimaWE Rg"/>
          <w:sz w:val="14"/>
          <w:szCs w:val="14"/>
        </w:rPr>
        <w:t>l’attività</w:t>
      </w:r>
      <w:r w:rsidR="00F837FE" w:rsidRPr="00672C42">
        <w:rPr>
          <w:rStyle w:val="Rimandonotadichiusura"/>
          <w:rFonts w:ascii="DecimaWE Rg" w:hAnsi="DecimaWE Rg"/>
          <w:sz w:val="14"/>
          <w:szCs w:val="14"/>
        </w:rPr>
        <w:endnoteReference w:id="1"/>
      </w:r>
      <w:r w:rsidRPr="00672C42">
        <w:rPr>
          <w:rFonts w:ascii="DecimaWE Rg" w:hAnsi="DecimaWE Rg"/>
          <w:sz w:val="14"/>
          <w:szCs w:val="14"/>
        </w:rPr>
        <w:t xml:space="preserve"> per la quale si richiede il contributo fornendo </w:t>
      </w:r>
      <w:r w:rsidRPr="00672C42">
        <w:rPr>
          <w:rFonts w:ascii="DecimaWE Rg" w:hAnsi="DecimaWE Rg"/>
          <w:b/>
          <w:sz w:val="14"/>
          <w:szCs w:val="14"/>
        </w:rPr>
        <w:t>elementi utili alla valutazione</w:t>
      </w:r>
      <w:r w:rsidRPr="00672C42">
        <w:rPr>
          <w:rStyle w:val="Rimandonotadichiusura"/>
          <w:rFonts w:ascii="DecimaWE Rg" w:hAnsi="DecimaWE Rg"/>
          <w:b/>
          <w:sz w:val="14"/>
          <w:szCs w:val="14"/>
        </w:rPr>
        <w:endnoteReference w:id="2"/>
      </w:r>
      <w:r w:rsidRPr="00672C42">
        <w:rPr>
          <w:rFonts w:ascii="DecimaWE Rg" w:hAnsi="DecimaWE Rg"/>
          <w:b/>
          <w:sz w:val="14"/>
          <w:szCs w:val="14"/>
        </w:rPr>
        <w:t xml:space="preserve"> della qualità</w:t>
      </w:r>
      <w:r w:rsidRPr="00672C42">
        <w:rPr>
          <w:rFonts w:ascii="DecimaWE Rg" w:hAnsi="DecimaWE Rg"/>
          <w:sz w:val="14"/>
          <w:szCs w:val="14"/>
        </w:rPr>
        <w:t xml:space="preserve"> del programma presentato e del suo </w:t>
      </w:r>
      <w:r w:rsidRPr="00672C42">
        <w:rPr>
          <w:rFonts w:ascii="DecimaWE Rg" w:hAnsi="DecimaWE Rg"/>
          <w:b/>
          <w:sz w:val="14"/>
          <w:szCs w:val="14"/>
        </w:rPr>
        <w:t>impatto sulla vita della minoranza linguistica slovena</w:t>
      </w:r>
      <w:r w:rsidRPr="00672C42">
        <w:rPr>
          <w:rFonts w:ascii="DecimaWE Rg" w:hAnsi="DecimaWE Rg"/>
          <w:sz w:val="14"/>
          <w:szCs w:val="14"/>
        </w:rPr>
        <w:t>. In particolare, si prega di fornire elementi utili ai fini della valutazione dei seguenti criteri di cui all’art. 10, c. 2, del Regolamento:</w:t>
      </w:r>
    </w:p>
    <w:p w:rsidR="006224DE" w:rsidRPr="00672C42" w:rsidRDefault="006224DE" w:rsidP="006224DE">
      <w:pPr>
        <w:pStyle w:val="Standard"/>
        <w:ind w:left="0" w:right="-54"/>
        <w:rPr>
          <w:rFonts w:ascii="DecimaWE Rg" w:eastAsia="Times New Roman" w:hAnsi="DecimaWE Rg" w:cs="Times New Roman"/>
          <w:i/>
          <w:kern w:val="0"/>
          <w:sz w:val="14"/>
          <w:szCs w:val="14"/>
          <w:lang w:val="it-IT" w:eastAsia="it-IT" w:bidi="ar-SA"/>
        </w:rPr>
      </w:pPr>
      <w:r w:rsidRPr="00672C42">
        <w:rPr>
          <w:rFonts w:ascii="DecimaWE Rg" w:eastAsia="Times New Roman" w:hAnsi="DecimaWE Rg" w:cs="Times New Roman"/>
          <w:b/>
          <w:i/>
          <w:kern w:val="0"/>
          <w:sz w:val="14"/>
          <w:szCs w:val="14"/>
          <w:lang w:val="it-IT" w:eastAsia="it-IT" w:bidi="ar-SA"/>
        </w:rPr>
        <w:t>a)</w:t>
      </w:r>
      <w:r w:rsidRPr="00672C42">
        <w:rPr>
          <w:rFonts w:ascii="DecimaWE Rg" w:eastAsia="Times New Roman" w:hAnsi="DecimaWE Rg" w:cs="Times New Roman"/>
          <w:i/>
          <w:kern w:val="0"/>
          <w:sz w:val="14"/>
          <w:szCs w:val="14"/>
          <w:lang w:val="it-IT" w:eastAsia="it-IT" w:bidi="ar-SA"/>
        </w:rPr>
        <w:t xml:space="preserve">  congruenza delle risorse umane e delle risorse finanziarie, organizzative e strumentali in rapporto agli obiettivi e alle attività previste;</w:t>
      </w:r>
    </w:p>
    <w:p w:rsidR="006224DE" w:rsidRPr="00672C42" w:rsidRDefault="006224DE" w:rsidP="006224DE">
      <w:pPr>
        <w:pStyle w:val="Standard"/>
        <w:ind w:left="0" w:right="-54"/>
        <w:rPr>
          <w:rFonts w:ascii="DecimaWE Rg" w:eastAsia="Times New Roman" w:hAnsi="DecimaWE Rg" w:cs="Times New Roman"/>
          <w:i/>
          <w:kern w:val="0"/>
          <w:sz w:val="14"/>
          <w:szCs w:val="14"/>
          <w:lang w:val="it-IT" w:eastAsia="it-IT" w:bidi="ar-SA"/>
        </w:rPr>
      </w:pPr>
      <w:r w:rsidRPr="00672C42">
        <w:rPr>
          <w:rFonts w:ascii="DecimaWE Rg" w:eastAsia="Times New Roman" w:hAnsi="DecimaWE Rg" w:cs="Times New Roman"/>
          <w:b/>
          <w:i/>
          <w:kern w:val="0"/>
          <w:sz w:val="14"/>
          <w:szCs w:val="14"/>
          <w:lang w:val="it-IT" w:eastAsia="it-IT" w:bidi="ar-SA"/>
        </w:rPr>
        <w:t>b)</w:t>
      </w:r>
      <w:r w:rsidRPr="00672C42">
        <w:rPr>
          <w:rFonts w:ascii="DecimaWE Rg" w:eastAsia="Times New Roman" w:hAnsi="DecimaWE Rg" w:cs="Times New Roman"/>
          <w:i/>
          <w:kern w:val="0"/>
          <w:sz w:val="14"/>
          <w:szCs w:val="14"/>
          <w:lang w:val="it-IT" w:eastAsia="it-IT" w:bidi="ar-SA"/>
        </w:rPr>
        <w:t xml:space="preserve"> grado di innovatività e originalità in relazione all’oggetto dell’attività programmata o alla modalità di realizzazione della stessa;</w:t>
      </w:r>
    </w:p>
    <w:p w:rsidR="006224DE" w:rsidRPr="00672C42" w:rsidRDefault="006224DE" w:rsidP="006224DE">
      <w:pPr>
        <w:pStyle w:val="Standard"/>
        <w:ind w:left="0" w:right="-54"/>
        <w:rPr>
          <w:rFonts w:ascii="DecimaWE Rg" w:eastAsia="Times New Roman" w:hAnsi="DecimaWE Rg" w:cs="Times New Roman"/>
          <w:i/>
          <w:kern w:val="0"/>
          <w:sz w:val="14"/>
          <w:szCs w:val="14"/>
          <w:lang w:val="it-IT" w:eastAsia="it-IT" w:bidi="ar-SA"/>
        </w:rPr>
      </w:pPr>
      <w:r w:rsidRPr="00672C42">
        <w:rPr>
          <w:rFonts w:ascii="DecimaWE Rg" w:eastAsia="Times New Roman" w:hAnsi="DecimaWE Rg" w:cs="Times New Roman"/>
          <w:b/>
          <w:i/>
          <w:kern w:val="0"/>
          <w:sz w:val="14"/>
          <w:szCs w:val="14"/>
          <w:lang w:val="it-IT" w:eastAsia="it-IT" w:bidi="ar-SA"/>
        </w:rPr>
        <w:t>c)</w:t>
      </w:r>
      <w:r w:rsidRPr="00672C42">
        <w:rPr>
          <w:rFonts w:ascii="DecimaWE Rg" w:eastAsia="Times New Roman" w:hAnsi="DecimaWE Rg" w:cs="Times New Roman"/>
          <w:i/>
          <w:kern w:val="0"/>
          <w:sz w:val="14"/>
          <w:szCs w:val="14"/>
          <w:lang w:val="it-IT" w:eastAsia="it-IT" w:bidi="ar-SA"/>
        </w:rPr>
        <w:t xml:space="preserve"> capacità di comunicare e promuovere l’attività programmata anche in rapporto alla valorizzazione e promozione del territorio;</w:t>
      </w:r>
    </w:p>
    <w:p w:rsidR="006224DE" w:rsidRPr="00672C42" w:rsidRDefault="006224DE" w:rsidP="006224DE">
      <w:pPr>
        <w:pStyle w:val="Standard"/>
        <w:ind w:left="0" w:right="-54"/>
        <w:rPr>
          <w:rFonts w:ascii="DecimaWE Rg" w:eastAsia="Times New Roman" w:hAnsi="DecimaWE Rg" w:cs="Times New Roman"/>
          <w:i/>
          <w:kern w:val="0"/>
          <w:sz w:val="14"/>
          <w:szCs w:val="14"/>
          <w:lang w:val="it-IT" w:eastAsia="it-IT" w:bidi="ar-SA"/>
        </w:rPr>
      </w:pPr>
      <w:r w:rsidRPr="00672C42">
        <w:rPr>
          <w:rFonts w:ascii="DecimaWE Rg" w:eastAsia="Times New Roman" w:hAnsi="DecimaWE Rg" w:cs="Times New Roman"/>
          <w:b/>
          <w:i/>
          <w:kern w:val="0"/>
          <w:sz w:val="14"/>
          <w:szCs w:val="14"/>
          <w:lang w:val="it-IT" w:eastAsia="it-IT" w:bidi="ar-SA"/>
        </w:rPr>
        <w:t>d)</w:t>
      </w:r>
      <w:r w:rsidRPr="00672C42">
        <w:rPr>
          <w:rFonts w:ascii="DecimaWE Rg" w:eastAsia="Times New Roman" w:hAnsi="DecimaWE Rg" w:cs="Times New Roman"/>
          <w:i/>
          <w:kern w:val="0"/>
          <w:sz w:val="14"/>
          <w:szCs w:val="14"/>
          <w:lang w:val="it-IT" w:eastAsia="it-IT" w:bidi="ar-SA"/>
        </w:rPr>
        <w:t xml:space="preserve"> valutazione complessiva della congruità della richiesta di finanziamento e della sua congruenza in rapporto alle precedenti esperienze.</w:t>
      </w:r>
    </w:p>
    <w:p w:rsidR="006224DE" w:rsidRPr="00672C42" w:rsidRDefault="006224DE" w:rsidP="006224DE">
      <w:pPr>
        <w:pStyle w:val="Standard"/>
        <w:ind w:left="0" w:right="-54"/>
        <w:rPr>
          <w:rFonts w:ascii="DecimaWE Rg" w:eastAsia="Times New Roman" w:hAnsi="DecimaWE Rg" w:cs="Times New Roman"/>
          <w:i/>
          <w:kern w:val="0"/>
          <w:sz w:val="14"/>
          <w:szCs w:val="14"/>
          <w:lang w:val="it-IT" w:eastAsia="it-IT" w:bidi="ar-SA"/>
        </w:rPr>
      </w:pPr>
    </w:p>
    <w:p w:rsidR="006224DE" w:rsidRPr="00672C42" w:rsidRDefault="006224DE" w:rsidP="006224DE">
      <w:pPr>
        <w:pStyle w:val="Standard"/>
        <w:ind w:left="0" w:right="-54"/>
        <w:rPr>
          <w:rFonts w:ascii="DecimaWE Rg" w:eastAsia="Times New Roman" w:hAnsi="DecimaWE Rg" w:cs="Times New Roman"/>
          <w:i/>
          <w:kern w:val="0"/>
          <w:sz w:val="14"/>
          <w:szCs w:val="14"/>
          <w:lang w:eastAsia="it-IT" w:bidi="ar-SA"/>
        </w:rPr>
      </w:pPr>
      <w:r w:rsidRPr="00672C42">
        <w:rPr>
          <w:rFonts w:ascii="DecimaWE Rg" w:eastAsia="Times New Roman" w:hAnsi="DecimaWE Rg" w:cs="Times New Roman"/>
          <w:i/>
          <w:kern w:val="0"/>
          <w:sz w:val="14"/>
          <w:szCs w:val="14"/>
          <w:lang w:eastAsia="it-IT" w:bidi="ar-SA"/>
        </w:rPr>
        <w:t xml:space="preserve">V spodnjem razdelku </w:t>
      </w:r>
      <w:r w:rsidR="002411AD">
        <w:rPr>
          <w:rFonts w:ascii="DecimaWE Rg" w:eastAsia="Times New Roman" w:hAnsi="DecimaWE Rg" w:cs="Times New Roman"/>
          <w:i/>
          <w:kern w:val="0"/>
          <w:sz w:val="14"/>
          <w:szCs w:val="14"/>
          <w:lang w:eastAsia="it-IT" w:bidi="ar-SA"/>
        </w:rPr>
        <w:t xml:space="preserve">ali na posebej priloženem listu </w:t>
      </w:r>
      <w:r w:rsidRPr="00672C42">
        <w:rPr>
          <w:rFonts w:ascii="DecimaWE Rg" w:eastAsia="Times New Roman" w:hAnsi="DecimaWE Rg" w:cs="Times New Roman"/>
          <w:i/>
          <w:kern w:val="0"/>
          <w:sz w:val="14"/>
          <w:szCs w:val="14"/>
          <w:lang w:eastAsia="it-IT" w:bidi="ar-SA"/>
        </w:rPr>
        <w:t>natančno orišite dejavnost</w:t>
      </w:r>
      <w:r w:rsidRPr="00672C42">
        <w:rPr>
          <w:rStyle w:val="Rimandonotadichiusura"/>
          <w:rFonts w:ascii="DecimaWE Rg" w:eastAsia="Times New Roman" w:hAnsi="DecimaWE Rg" w:cs="Times New Roman"/>
          <w:i/>
          <w:kern w:val="0"/>
          <w:sz w:val="14"/>
          <w:szCs w:val="14"/>
          <w:lang w:eastAsia="it-IT" w:bidi="ar-SA"/>
        </w:rPr>
        <w:endnoteReference w:id="3"/>
      </w:r>
      <w:r w:rsidR="002411AD">
        <w:rPr>
          <w:rFonts w:ascii="DecimaWE Rg" w:eastAsia="Times New Roman" w:hAnsi="DecimaWE Rg" w:cs="Times New Roman"/>
          <w:i/>
          <w:kern w:val="0"/>
          <w:sz w:val="14"/>
          <w:szCs w:val="14"/>
          <w:lang w:eastAsia="it-IT" w:bidi="ar-SA"/>
        </w:rPr>
        <w:t>,</w:t>
      </w:r>
      <w:r w:rsidRPr="00672C42">
        <w:rPr>
          <w:rFonts w:ascii="DecimaWE Rg" w:eastAsia="Times New Roman" w:hAnsi="DecimaWE Rg" w:cs="Times New Roman"/>
          <w:i/>
          <w:kern w:val="0"/>
          <w:sz w:val="14"/>
          <w:szCs w:val="14"/>
          <w:lang w:eastAsia="it-IT" w:bidi="ar-SA"/>
        </w:rPr>
        <w:t xml:space="preserve"> za katero prosite za prispevek, pri tem pa navedite predvsem </w:t>
      </w:r>
      <w:r w:rsidRPr="00672C42">
        <w:rPr>
          <w:rFonts w:ascii="DecimaWE Rg" w:eastAsia="Times New Roman" w:hAnsi="DecimaWE Rg" w:cs="Times New Roman"/>
          <w:b/>
          <w:i/>
          <w:kern w:val="0"/>
          <w:sz w:val="14"/>
          <w:szCs w:val="14"/>
          <w:lang w:eastAsia="it-IT" w:bidi="ar-SA"/>
        </w:rPr>
        <w:t>podatke, ki bodo uporabni pri oceni</w:t>
      </w:r>
      <w:r w:rsidRPr="00672C42">
        <w:rPr>
          <w:rStyle w:val="Rimandonotadichiusura"/>
          <w:rFonts w:ascii="DecimaWE Rg" w:eastAsia="Times New Roman" w:hAnsi="DecimaWE Rg" w:cs="Times New Roman"/>
          <w:b/>
          <w:i/>
          <w:kern w:val="0"/>
          <w:sz w:val="14"/>
          <w:szCs w:val="14"/>
          <w:lang w:eastAsia="it-IT" w:bidi="ar-SA"/>
        </w:rPr>
        <w:endnoteReference w:id="4"/>
      </w:r>
      <w:r w:rsidRPr="00672C42">
        <w:rPr>
          <w:rFonts w:ascii="DecimaWE Rg" w:eastAsia="Times New Roman" w:hAnsi="DecimaWE Rg" w:cs="Times New Roman"/>
          <w:b/>
          <w:i/>
          <w:kern w:val="0"/>
          <w:sz w:val="14"/>
          <w:szCs w:val="14"/>
          <w:lang w:eastAsia="it-IT" w:bidi="ar-SA"/>
        </w:rPr>
        <w:t xml:space="preserve"> kakovosti </w:t>
      </w:r>
      <w:r w:rsidRPr="00672C42">
        <w:rPr>
          <w:rFonts w:ascii="DecimaWE Rg" w:eastAsia="Times New Roman" w:hAnsi="DecimaWE Rg" w:cs="Times New Roman"/>
          <w:i/>
          <w:kern w:val="0"/>
          <w:sz w:val="14"/>
          <w:szCs w:val="14"/>
          <w:lang w:eastAsia="it-IT" w:bidi="ar-SA"/>
        </w:rPr>
        <w:t xml:space="preserve">predstavljenega </w:t>
      </w:r>
      <w:r w:rsidR="00233C2E">
        <w:rPr>
          <w:rFonts w:ascii="DecimaWE Rg" w:eastAsia="Times New Roman" w:hAnsi="DecimaWE Rg" w:cs="Times New Roman"/>
          <w:i/>
          <w:kern w:val="0"/>
          <w:sz w:val="14"/>
          <w:szCs w:val="14"/>
          <w:lang w:eastAsia="it-IT" w:bidi="ar-SA"/>
        </w:rPr>
        <w:t>programa dejavnosti</w:t>
      </w:r>
      <w:r w:rsidRPr="00672C42">
        <w:rPr>
          <w:rFonts w:ascii="DecimaWE Rg" w:eastAsia="Times New Roman" w:hAnsi="DecimaWE Rg" w:cs="Times New Roman"/>
          <w:i/>
          <w:kern w:val="0"/>
          <w:sz w:val="14"/>
          <w:szCs w:val="14"/>
          <w:lang w:eastAsia="it-IT" w:bidi="ar-SA"/>
        </w:rPr>
        <w:t xml:space="preserve"> in njegovega </w:t>
      </w:r>
      <w:r w:rsidRPr="00672C42">
        <w:rPr>
          <w:rFonts w:ascii="DecimaWE Rg" w:eastAsia="Times New Roman" w:hAnsi="DecimaWE Rg" w:cs="Times New Roman"/>
          <w:b/>
          <w:i/>
          <w:kern w:val="0"/>
          <w:sz w:val="14"/>
          <w:szCs w:val="14"/>
          <w:lang w:eastAsia="it-IT" w:bidi="ar-SA"/>
        </w:rPr>
        <w:t>vpliva na življenje slovenske manjšine</w:t>
      </w:r>
      <w:r w:rsidRPr="00672C42">
        <w:rPr>
          <w:rFonts w:ascii="DecimaWE Rg" w:eastAsia="Times New Roman" w:hAnsi="DecimaWE Rg" w:cs="Times New Roman"/>
          <w:i/>
          <w:kern w:val="0"/>
          <w:sz w:val="14"/>
          <w:szCs w:val="14"/>
          <w:lang w:eastAsia="it-IT" w:bidi="ar-SA"/>
        </w:rPr>
        <w:t>. Še zlasti navedite informacije, ki lahko koristijo pri oceni naslednjih meril iz drugega odstavka 10. člena Pravilnika:</w:t>
      </w:r>
    </w:p>
    <w:p w:rsidR="006224DE" w:rsidRPr="00672C42" w:rsidRDefault="006224DE" w:rsidP="006224DE">
      <w:pPr>
        <w:pStyle w:val="Standard"/>
        <w:ind w:left="0" w:right="-54"/>
        <w:rPr>
          <w:rFonts w:ascii="DecimaWE Rg" w:eastAsia="Times New Roman" w:hAnsi="DecimaWE Rg" w:cs="Times New Roman"/>
          <w:kern w:val="0"/>
          <w:sz w:val="14"/>
          <w:szCs w:val="14"/>
          <w:lang w:eastAsia="it-IT" w:bidi="ar-SA"/>
        </w:rPr>
      </w:pPr>
      <w:r w:rsidRPr="00672C42">
        <w:rPr>
          <w:rFonts w:ascii="DecimaWE Rg" w:eastAsia="Times New Roman" w:hAnsi="DecimaWE Rg" w:cs="Times New Roman"/>
          <w:b/>
          <w:kern w:val="0"/>
          <w:sz w:val="14"/>
          <w:szCs w:val="14"/>
          <w:lang w:eastAsia="it-IT" w:bidi="ar-SA"/>
        </w:rPr>
        <w:t>a)</w:t>
      </w:r>
      <w:r w:rsidRPr="00672C42">
        <w:rPr>
          <w:rFonts w:ascii="DecimaWE Rg" w:eastAsia="Times New Roman" w:hAnsi="DecimaWE Rg" w:cs="Times New Roman"/>
          <w:kern w:val="0"/>
          <w:sz w:val="14"/>
          <w:szCs w:val="14"/>
          <w:lang w:eastAsia="it-IT" w:bidi="ar-SA"/>
        </w:rPr>
        <w:t xml:space="preserve"> primernost človeških, finančnih, organizacijskih in materialnih virov glede na predvidene cilje in dejavnosti;</w:t>
      </w:r>
    </w:p>
    <w:p w:rsidR="006224DE" w:rsidRPr="00672C42" w:rsidRDefault="006224DE" w:rsidP="006224DE">
      <w:pPr>
        <w:pStyle w:val="Standard"/>
        <w:ind w:left="0" w:right="-54"/>
        <w:rPr>
          <w:rFonts w:ascii="DecimaWE Rg" w:eastAsia="Times New Roman" w:hAnsi="DecimaWE Rg" w:cs="Times New Roman"/>
          <w:kern w:val="0"/>
          <w:sz w:val="14"/>
          <w:szCs w:val="14"/>
          <w:lang w:val="it-IT" w:eastAsia="it-IT" w:bidi="ar-SA"/>
        </w:rPr>
      </w:pPr>
      <w:r w:rsidRPr="00672C42">
        <w:rPr>
          <w:rFonts w:ascii="DecimaWE Rg" w:eastAsia="Times New Roman" w:hAnsi="DecimaWE Rg" w:cs="Times New Roman"/>
          <w:b/>
          <w:kern w:val="0"/>
          <w:sz w:val="14"/>
          <w:szCs w:val="14"/>
          <w:lang w:val="it-IT" w:eastAsia="it-IT" w:bidi="ar-SA"/>
        </w:rPr>
        <w:t>b)</w:t>
      </w:r>
      <w:r w:rsidRPr="00672C42">
        <w:rPr>
          <w:rFonts w:ascii="DecimaWE Rg" w:eastAsia="Times New Roman" w:hAnsi="DecimaWE Rg" w:cs="Times New Roman"/>
          <w:kern w:val="0"/>
          <w:sz w:val="14"/>
          <w:szCs w:val="14"/>
          <w:lang w:val="it-IT" w:eastAsia="it-IT" w:bidi="ar-SA"/>
        </w:rPr>
        <w:t xml:space="preserve"> stopnja inovativnosti in izvirnosti vsebine in izvedbe dejavnosti;</w:t>
      </w:r>
    </w:p>
    <w:p w:rsidR="006224DE" w:rsidRPr="00672C42" w:rsidRDefault="006224DE" w:rsidP="006224DE">
      <w:pPr>
        <w:pStyle w:val="Standard"/>
        <w:ind w:left="0" w:right="-54"/>
        <w:rPr>
          <w:rFonts w:ascii="DecimaWE Rg" w:eastAsia="Times New Roman" w:hAnsi="DecimaWE Rg" w:cs="Times New Roman"/>
          <w:kern w:val="0"/>
          <w:sz w:val="14"/>
          <w:szCs w:val="14"/>
          <w:lang w:val="it-IT" w:eastAsia="it-IT" w:bidi="ar-SA"/>
        </w:rPr>
      </w:pPr>
      <w:r w:rsidRPr="00672C42">
        <w:rPr>
          <w:rFonts w:ascii="DecimaWE Rg" w:eastAsia="Times New Roman" w:hAnsi="DecimaWE Rg" w:cs="Times New Roman"/>
          <w:b/>
          <w:kern w:val="0"/>
          <w:sz w:val="14"/>
          <w:szCs w:val="14"/>
          <w:lang w:val="it-IT" w:eastAsia="it-IT" w:bidi="ar-SA"/>
        </w:rPr>
        <w:t>c)</w:t>
      </w:r>
      <w:r w:rsidRPr="00672C42">
        <w:rPr>
          <w:rFonts w:ascii="DecimaWE Rg" w:eastAsia="Times New Roman" w:hAnsi="DecimaWE Rg" w:cs="Times New Roman"/>
          <w:kern w:val="0"/>
          <w:sz w:val="14"/>
          <w:szCs w:val="14"/>
          <w:lang w:val="it-IT" w:eastAsia="it-IT" w:bidi="ar-SA"/>
        </w:rPr>
        <w:t xml:space="preserve"> sposobnost sporočanja in promocije dejavnosti tudi ob upoštevanju vrednotenja in promocije prostora; </w:t>
      </w:r>
    </w:p>
    <w:p w:rsidR="006224DE" w:rsidRPr="00672C42" w:rsidRDefault="006224DE" w:rsidP="006224DE">
      <w:pPr>
        <w:pStyle w:val="Standard"/>
        <w:ind w:left="0" w:right="-54"/>
        <w:rPr>
          <w:rFonts w:ascii="DecimaWE Rg" w:eastAsia="Times New Roman" w:hAnsi="DecimaWE Rg" w:cs="Times New Roman"/>
          <w:kern w:val="0"/>
          <w:sz w:val="14"/>
          <w:szCs w:val="14"/>
          <w:lang w:val="it-IT" w:eastAsia="it-IT" w:bidi="ar-SA"/>
        </w:rPr>
      </w:pPr>
      <w:r w:rsidRPr="00672C42">
        <w:rPr>
          <w:rFonts w:ascii="DecimaWE Rg" w:eastAsia="Times New Roman" w:hAnsi="DecimaWE Rg" w:cs="Times New Roman"/>
          <w:b/>
          <w:kern w:val="0"/>
          <w:sz w:val="14"/>
          <w:szCs w:val="14"/>
          <w:lang w:val="it-IT" w:eastAsia="it-IT" w:bidi="ar-SA"/>
        </w:rPr>
        <w:t>d)</w:t>
      </w:r>
      <w:r w:rsidRPr="00672C42">
        <w:rPr>
          <w:rFonts w:ascii="DecimaWE Rg" w:eastAsia="Times New Roman" w:hAnsi="DecimaWE Rg" w:cs="Times New Roman"/>
          <w:kern w:val="0"/>
          <w:sz w:val="14"/>
          <w:szCs w:val="14"/>
          <w:lang w:val="it-IT" w:eastAsia="it-IT" w:bidi="ar-SA"/>
        </w:rPr>
        <w:t xml:space="preserve"> celovita ocena primernosti prošnje za financiranje in primernost le-te glede na pretekle izkušnje.</w:t>
      </w:r>
    </w:p>
    <w:p w:rsidR="006224DE" w:rsidRPr="006224DE" w:rsidRDefault="006224DE" w:rsidP="00541F58">
      <w:pPr>
        <w:pStyle w:val="Paragrafoelenco"/>
        <w:ind w:left="0"/>
        <w:jc w:val="center"/>
        <w:rPr>
          <w:rFonts w:ascii="DecimaWE Rg" w:hAnsi="DecimaWE Rg"/>
          <w:b/>
          <w:i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3CA" w:rsidRPr="008E6150" w:rsidTr="006224DE">
        <w:trPr>
          <w:trHeight w:val="5215"/>
        </w:trPr>
        <w:tc>
          <w:tcPr>
            <w:tcW w:w="9778" w:type="dxa"/>
            <w:shd w:val="clear" w:color="auto" w:fill="auto"/>
          </w:tcPr>
          <w:p w:rsidR="008E6150" w:rsidRPr="008E6150" w:rsidRDefault="008E6150" w:rsidP="00850C15">
            <w:pPr>
              <w:pStyle w:val="Standard"/>
              <w:ind w:left="0" w:right="-54"/>
              <w:rPr>
                <w:rFonts w:ascii="DecimaWE Rg" w:eastAsia="Times New Roman" w:hAnsi="DecimaWE Rg" w:cs="Times New Roman"/>
                <w:i/>
                <w:kern w:val="0"/>
                <w:sz w:val="16"/>
                <w:szCs w:val="16"/>
                <w:lang w:eastAsia="it-IT" w:bidi="ar-SA"/>
              </w:rPr>
            </w:pPr>
          </w:p>
          <w:p w:rsidR="00850C15" w:rsidRDefault="00850C15" w:rsidP="00C4086F">
            <w:pPr>
              <w:pStyle w:val="Standard"/>
              <w:ind w:left="0" w:right="-54"/>
              <w:rPr>
                <w:rFonts w:ascii="DecimaWE Rg" w:hAnsi="DecimaWE Rg"/>
                <w:sz w:val="16"/>
                <w:szCs w:val="16"/>
              </w:rPr>
            </w:pPr>
          </w:p>
          <w:p w:rsidR="00C4086F" w:rsidRDefault="000919EE" w:rsidP="00C4086F">
            <w:pPr>
              <w:pStyle w:val="Standard"/>
              <w:ind w:left="0" w:right="-54"/>
              <w:rPr>
                <w:rFonts w:ascii="DecimaWE Rg" w:hAnsi="DecimaWE Rg"/>
                <w:sz w:val="16"/>
                <w:szCs w:val="16"/>
              </w:rPr>
            </w:pP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instrText xml:space="preserve"> FORMTEXT </w:instrTex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separate"/>
            </w:r>
            <w:bookmarkStart w:id="0" w:name="_GoBack"/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bookmarkEnd w:id="0"/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end"/>
            </w:r>
          </w:p>
          <w:p w:rsidR="00C4086F" w:rsidRPr="008E6150" w:rsidRDefault="00C4086F" w:rsidP="00C074B1">
            <w:pPr>
              <w:jc w:val="both"/>
              <w:rPr>
                <w:rFonts w:ascii="DecimaWE Rg" w:hAnsi="DecimaWE Rg"/>
                <w:sz w:val="16"/>
                <w:szCs w:val="16"/>
                <w:lang w:val="sl-SI"/>
              </w:rPr>
            </w:pPr>
          </w:p>
        </w:tc>
      </w:tr>
    </w:tbl>
    <w:p w:rsidR="00EF1F2C" w:rsidRPr="008E6150" w:rsidRDefault="00495F2E">
      <w:pPr>
        <w:rPr>
          <w:lang w:val="sl-SI"/>
        </w:rPr>
      </w:pPr>
    </w:p>
    <w:sectPr w:rsidR="00EF1F2C" w:rsidRPr="008E6150" w:rsidSect="00850C1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2E" w:rsidRDefault="00495F2E" w:rsidP="00C074B1">
      <w:r>
        <w:separator/>
      </w:r>
    </w:p>
  </w:endnote>
  <w:endnote w:type="continuationSeparator" w:id="0">
    <w:p w:rsidR="00495F2E" w:rsidRDefault="00495F2E" w:rsidP="00C074B1">
      <w:r>
        <w:continuationSeparator/>
      </w:r>
    </w:p>
  </w:endnote>
  <w:endnote w:id="1">
    <w:p w:rsidR="00F837FE" w:rsidRPr="00672C42" w:rsidRDefault="00F837FE" w:rsidP="00F837FE">
      <w:pPr>
        <w:pStyle w:val="Testonotadichiusura"/>
        <w:jc w:val="both"/>
        <w:rPr>
          <w:rFonts w:ascii="DecimaWE Rg" w:hAnsi="DecimaWE Rg" w:cs="Arial"/>
          <w:w w:val="90"/>
          <w:sz w:val="14"/>
          <w:szCs w:val="14"/>
        </w:rPr>
      </w:pPr>
      <w:r w:rsidRPr="00672C42">
        <w:rPr>
          <w:rStyle w:val="Rimandonotadichiusura"/>
          <w:sz w:val="14"/>
          <w:szCs w:val="14"/>
        </w:rPr>
        <w:endnoteRef/>
      </w:r>
      <w:r w:rsidRPr="00672C42">
        <w:rPr>
          <w:sz w:val="14"/>
          <w:szCs w:val="14"/>
        </w:rPr>
        <w:t xml:space="preserve"> </w:t>
      </w:r>
      <w:r w:rsidRPr="00672C42">
        <w:rPr>
          <w:rFonts w:ascii="DecimaWE Rg" w:hAnsi="DecimaWE Rg" w:cs="Arial"/>
          <w:w w:val="90"/>
          <w:sz w:val="14"/>
          <w:szCs w:val="14"/>
        </w:rPr>
        <w:t>Le dichiarazioni rese verranno verificate dall’Amministrazione regionale in sede di approvazione del rendiconto del contributo concesso.</w:t>
      </w:r>
    </w:p>
    <w:p w:rsidR="00F837FE" w:rsidRPr="00672C42" w:rsidRDefault="00F837FE" w:rsidP="00F837FE">
      <w:pPr>
        <w:pStyle w:val="Testonotadichiusura"/>
        <w:jc w:val="both"/>
        <w:rPr>
          <w:sz w:val="14"/>
          <w:szCs w:val="14"/>
        </w:rPr>
      </w:pPr>
    </w:p>
  </w:endnote>
  <w:endnote w:id="2">
    <w:p w:rsidR="006224DE" w:rsidRPr="00672C42" w:rsidRDefault="006224DE" w:rsidP="006224DE">
      <w:pPr>
        <w:pStyle w:val="Testonotadichiusura"/>
        <w:jc w:val="both"/>
        <w:rPr>
          <w:rFonts w:ascii="DecimaWE Rg" w:hAnsi="DecimaWE Rg"/>
          <w:i/>
          <w:sz w:val="14"/>
          <w:szCs w:val="14"/>
        </w:rPr>
      </w:pPr>
      <w:r w:rsidRPr="00672C42">
        <w:rPr>
          <w:rStyle w:val="Rimandonotadichiusura"/>
          <w:sz w:val="14"/>
          <w:szCs w:val="14"/>
        </w:rPr>
        <w:endnoteRef/>
      </w:r>
      <w:r w:rsidRPr="00672C42">
        <w:rPr>
          <w:sz w:val="14"/>
          <w:szCs w:val="14"/>
        </w:rPr>
        <w:t xml:space="preserve"> </w:t>
      </w:r>
      <w:r w:rsidRPr="00672C42">
        <w:rPr>
          <w:rFonts w:ascii="DecimaWE Rg" w:hAnsi="DecimaWE Rg"/>
          <w:sz w:val="14"/>
          <w:szCs w:val="14"/>
        </w:rPr>
        <w:t>Ai sensi dell’articolo 10 del Regolamento</w:t>
      </w:r>
      <w:r w:rsidRPr="00672C42">
        <w:rPr>
          <w:rFonts w:ascii="DecimaWE Rg" w:hAnsi="DecimaWE Rg"/>
          <w:i/>
          <w:sz w:val="14"/>
          <w:szCs w:val="14"/>
        </w:rPr>
        <w:t xml:space="preserve">, </w:t>
      </w:r>
      <w:r w:rsidRPr="00672C42">
        <w:rPr>
          <w:rFonts w:ascii="DecimaWE Rg" w:hAnsi="DecimaWE Rg"/>
          <w:sz w:val="14"/>
          <w:szCs w:val="14"/>
        </w:rPr>
        <w:t xml:space="preserve">la valutazione dei programmi presentati sarà valutata da un’apposita commissione, la quale sarà, in ottemperanza ai disposti di cui all’articolo 10, comma 4, del Regolamento, </w:t>
      </w:r>
      <w:r w:rsidRPr="00672C42">
        <w:rPr>
          <w:rFonts w:ascii="DecimaWE Rg" w:hAnsi="DecimaWE Rg"/>
          <w:i/>
          <w:sz w:val="14"/>
          <w:szCs w:val="14"/>
        </w:rPr>
        <w:t>nominata con decreto, composta dal Direttore centrale della Direzione competente o da un suo delegato, che la presiede, da due dipendenti del Servizio competente per il settore delle lingue minoritarie, di cui almeno uno con conoscenza della lingua slovena, e da due esperti in materia di salvaguardia della lingua e del patrimonio storico e culturale della minoranza slovena proposti dalla Commissione regionale consultiva per la minoranza linguistica slovena di cui all’articolo 8 della L.R. 26/2007.</w:t>
      </w:r>
    </w:p>
    <w:p w:rsidR="006224DE" w:rsidRPr="00672C42" w:rsidRDefault="006224DE" w:rsidP="006224DE">
      <w:pPr>
        <w:pStyle w:val="Testonotadichiusura"/>
        <w:jc w:val="both"/>
        <w:rPr>
          <w:sz w:val="14"/>
          <w:szCs w:val="14"/>
          <w:lang w:val="sl-SI"/>
        </w:rPr>
      </w:pPr>
    </w:p>
  </w:endnote>
  <w:endnote w:id="3">
    <w:p w:rsidR="006224DE" w:rsidRPr="00672C42" w:rsidRDefault="006224DE" w:rsidP="006224DE">
      <w:pPr>
        <w:pStyle w:val="Testonotadichiusura"/>
        <w:jc w:val="both"/>
        <w:rPr>
          <w:rFonts w:ascii="DecimaWE Rg" w:hAnsi="DecimaWE Rg" w:cs="Arial"/>
          <w:i/>
          <w:w w:val="90"/>
          <w:sz w:val="14"/>
          <w:szCs w:val="14"/>
          <w:lang w:val="sl-SI"/>
        </w:rPr>
      </w:pPr>
      <w:r w:rsidRPr="00672C42">
        <w:rPr>
          <w:rStyle w:val="Rimandonotadichiusura"/>
          <w:sz w:val="14"/>
          <w:szCs w:val="14"/>
        </w:rPr>
        <w:endnoteRef/>
      </w:r>
      <w:r w:rsidRPr="00672C42">
        <w:rPr>
          <w:sz w:val="14"/>
          <w:szCs w:val="14"/>
          <w:lang w:val="sl-SI"/>
        </w:rPr>
        <w:t xml:space="preserve"> </w:t>
      </w:r>
      <w:r w:rsidRPr="00672C42">
        <w:rPr>
          <w:rFonts w:ascii="DecimaWE Rg" w:hAnsi="DecimaWE Rg" w:cs="Arial"/>
          <w:i/>
          <w:w w:val="90"/>
          <w:sz w:val="14"/>
          <w:szCs w:val="14"/>
          <w:lang w:val="sl-SI"/>
        </w:rPr>
        <w:t>Podane izjave bo deželna uprava preverjala pri potrditvi obračunov za odobreni prispevek.</w:t>
      </w:r>
    </w:p>
    <w:p w:rsidR="006224DE" w:rsidRPr="00672C42" w:rsidRDefault="006224DE" w:rsidP="006224DE">
      <w:pPr>
        <w:pStyle w:val="Testonotadichiusura"/>
        <w:jc w:val="both"/>
        <w:rPr>
          <w:sz w:val="14"/>
          <w:szCs w:val="14"/>
          <w:lang w:val="sl-SI"/>
        </w:rPr>
      </w:pPr>
    </w:p>
  </w:endnote>
  <w:endnote w:id="4">
    <w:p w:rsidR="006224DE" w:rsidRPr="00751030" w:rsidRDefault="006224DE" w:rsidP="006224DE">
      <w:pPr>
        <w:pStyle w:val="Testonotadichiusura"/>
        <w:jc w:val="both"/>
        <w:rPr>
          <w:lang w:val="sl-SI"/>
        </w:rPr>
      </w:pPr>
      <w:r w:rsidRPr="00672C42">
        <w:rPr>
          <w:rStyle w:val="Rimandonotadichiusura"/>
          <w:sz w:val="14"/>
          <w:szCs w:val="14"/>
        </w:rPr>
        <w:endnoteRef/>
      </w:r>
      <w:r w:rsidRPr="00672C42">
        <w:rPr>
          <w:sz w:val="14"/>
          <w:szCs w:val="14"/>
          <w:lang w:val="sl-SI"/>
        </w:rPr>
        <w:t xml:space="preserve"> </w:t>
      </w:r>
      <w:r w:rsidRPr="00672C42">
        <w:rPr>
          <w:rFonts w:ascii="DecimaWE Rg" w:hAnsi="DecimaWE Rg" w:cs="Arial"/>
          <w:i/>
          <w:w w:val="90"/>
          <w:sz w:val="14"/>
          <w:szCs w:val="14"/>
          <w:lang w:val="sl-SI"/>
        </w:rPr>
        <w:t xml:space="preserve">Skladno z določili 10. člena Pravilnika oceni predstavljene programe dejavnosti pristojna komisija. Za slednjo določa četrti odstavek 10. člena Pravilnika, da </w:t>
      </w:r>
      <w:r w:rsidRPr="00672C42">
        <w:rPr>
          <w:rFonts w:ascii="DecimaWE Rg" w:hAnsi="DecimaWE Rg" w:cs="Arial"/>
          <w:w w:val="90"/>
          <w:sz w:val="14"/>
          <w:szCs w:val="14"/>
          <w:lang w:val="sl-SI"/>
        </w:rPr>
        <w:t>se imenuje z odlokom</w:t>
      </w:r>
      <w:r w:rsidRPr="00672C42">
        <w:rPr>
          <w:rFonts w:ascii="DecimaWE Rg" w:hAnsi="DecimaWE Rg" w:cs="Arial"/>
          <w:i/>
          <w:w w:val="90"/>
          <w:sz w:val="14"/>
          <w:szCs w:val="14"/>
          <w:lang w:val="sl-SI"/>
        </w:rPr>
        <w:t xml:space="preserve"> in da jo </w:t>
      </w:r>
      <w:r w:rsidRPr="00672C42">
        <w:rPr>
          <w:rFonts w:ascii="DecimaWE Rg" w:hAnsi="DecimaWE Rg" w:cs="Arial"/>
          <w:w w:val="90"/>
          <w:sz w:val="14"/>
          <w:szCs w:val="14"/>
          <w:lang w:val="sl-SI"/>
        </w:rPr>
        <w:t>sestavljajo glavni direktor pristojne direkcije ali njegov pooblaščenec, ki ji predseduje, dva uslužbenca pristojne službe, od katerih vsaj eden z znanjem slovenščine, ter dva strokovnjaka s področja zaščite jezika ter zgodovinske in kulturne dediščine slovenske manjšine, ki ju predlaga Deželna posvetovalna komisija za slovensko jezikovno manjšino iz 8. člena deželnega zakona št. 26/2007.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2E" w:rsidRDefault="00495F2E" w:rsidP="00C074B1">
      <w:r>
        <w:separator/>
      </w:r>
    </w:p>
  </w:footnote>
  <w:footnote w:type="continuationSeparator" w:id="0">
    <w:p w:rsidR="00495F2E" w:rsidRDefault="00495F2E" w:rsidP="00C0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9E2"/>
    <w:multiLevelType w:val="hybridMultilevel"/>
    <w:tmpl w:val="9FEC94F8"/>
    <w:lvl w:ilvl="0" w:tplc="2ECCB6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3D1F70"/>
    <w:multiLevelType w:val="hybridMultilevel"/>
    <w:tmpl w:val="B5C86268"/>
    <w:lvl w:ilvl="0" w:tplc="CCECEE4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1" w:cryptProviderType="rsaFull" w:cryptAlgorithmClass="hash" w:cryptAlgorithmType="typeAny" w:cryptAlgorithmSid="4" w:cryptSpinCount="100000" w:hash="wbQkPsP9O14XOKa4ptonw2vK5IE=" w:salt="7DlsWr3CL1yeTmBbxnqw5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CA"/>
    <w:rsid w:val="00050C70"/>
    <w:rsid w:val="00061963"/>
    <w:rsid w:val="0008575F"/>
    <w:rsid w:val="000919EE"/>
    <w:rsid w:val="000B015B"/>
    <w:rsid w:val="000E7B88"/>
    <w:rsid w:val="00165276"/>
    <w:rsid w:val="00203731"/>
    <w:rsid w:val="00233C2E"/>
    <w:rsid w:val="002411AD"/>
    <w:rsid w:val="00282D04"/>
    <w:rsid w:val="00295C6B"/>
    <w:rsid w:val="002C463C"/>
    <w:rsid w:val="003028AA"/>
    <w:rsid w:val="00317061"/>
    <w:rsid w:val="003437F9"/>
    <w:rsid w:val="00346B8A"/>
    <w:rsid w:val="003706E1"/>
    <w:rsid w:val="00401BFC"/>
    <w:rsid w:val="00495F2E"/>
    <w:rsid w:val="00541F58"/>
    <w:rsid w:val="00546E9F"/>
    <w:rsid w:val="00561D38"/>
    <w:rsid w:val="006127F6"/>
    <w:rsid w:val="006224DE"/>
    <w:rsid w:val="00672C42"/>
    <w:rsid w:val="00696930"/>
    <w:rsid w:val="006B1D9D"/>
    <w:rsid w:val="006C4868"/>
    <w:rsid w:val="007234EA"/>
    <w:rsid w:val="00751030"/>
    <w:rsid w:val="00757F83"/>
    <w:rsid w:val="00787E5E"/>
    <w:rsid w:val="007A0185"/>
    <w:rsid w:val="0081426E"/>
    <w:rsid w:val="00850C15"/>
    <w:rsid w:val="008A65A8"/>
    <w:rsid w:val="008E6150"/>
    <w:rsid w:val="008E6717"/>
    <w:rsid w:val="00907BC5"/>
    <w:rsid w:val="00947652"/>
    <w:rsid w:val="009C25EF"/>
    <w:rsid w:val="009E5D37"/>
    <w:rsid w:val="00B3758B"/>
    <w:rsid w:val="00B524B8"/>
    <w:rsid w:val="00BB33CA"/>
    <w:rsid w:val="00C074B1"/>
    <w:rsid w:val="00C4086F"/>
    <w:rsid w:val="00C726FA"/>
    <w:rsid w:val="00D15C32"/>
    <w:rsid w:val="00D611F3"/>
    <w:rsid w:val="00DF174A"/>
    <w:rsid w:val="00F36B07"/>
    <w:rsid w:val="00F837FE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3CA"/>
    <w:pPr>
      <w:ind w:left="720"/>
      <w:contextualSpacing/>
    </w:pPr>
  </w:style>
  <w:style w:type="paragraph" w:customStyle="1" w:styleId="Standard">
    <w:name w:val="Standard"/>
    <w:rsid w:val="00850C15"/>
    <w:pPr>
      <w:widowControl w:val="0"/>
      <w:suppressAutoHyphens/>
      <w:autoSpaceDN w:val="0"/>
      <w:spacing w:after="0" w:line="240" w:lineRule="auto"/>
      <w:ind w:left="1440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val="sl-SI" w:eastAsia="zh-CN" w:bidi="hi-IN"/>
    </w:rPr>
  </w:style>
  <w:style w:type="table" w:styleId="Grigliatabella">
    <w:name w:val="Table Grid"/>
    <w:basedOn w:val="Tabellanormale"/>
    <w:uiPriority w:val="59"/>
    <w:rsid w:val="00757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74B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74B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74B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5103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5103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510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3CA"/>
    <w:pPr>
      <w:ind w:left="720"/>
      <w:contextualSpacing/>
    </w:pPr>
  </w:style>
  <w:style w:type="paragraph" w:customStyle="1" w:styleId="Standard">
    <w:name w:val="Standard"/>
    <w:rsid w:val="00850C15"/>
    <w:pPr>
      <w:widowControl w:val="0"/>
      <w:suppressAutoHyphens/>
      <w:autoSpaceDN w:val="0"/>
      <w:spacing w:after="0" w:line="240" w:lineRule="auto"/>
      <w:ind w:left="1440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val="sl-SI" w:eastAsia="zh-CN" w:bidi="hi-IN"/>
    </w:rPr>
  </w:style>
  <w:style w:type="table" w:styleId="Grigliatabella">
    <w:name w:val="Table Grid"/>
    <w:basedOn w:val="Tabellanormale"/>
    <w:uiPriority w:val="59"/>
    <w:rsid w:val="00757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74B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74B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74B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5103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5103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510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ED0E-104E-404F-AF6E-F9CCC50E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Velise Aleksandra</dc:creator>
  <cp:lastModifiedBy>Velise Aleksandra</cp:lastModifiedBy>
  <cp:revision>37</cp:revision>
  <cp:lastPrinted>2015-12-01T09:51:00Z</cp:lastPrinted>
  <dcterms:created xsi:type="dcterms:W3CDTF">2015-11-24T10:53:00Z</dcterms:created>
  <dcterms:modified xsi:type="dcterms:W3CDTF">2015-12-09T10:14:00Z</dcterms:modified>
</cp:coreProperties>
</file>