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5E6" w:rsidRPr="007A5153" w:rsidRDefault="004F15E6" w:rsidP="004F15E6">
      <w:pPr>
        <w:rPr>
          <w:rFonts w:ascii="DecimaWE Rg" w:hAnsi="DecimaWE Rg"/>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F15E6" w:rsidRPr="0061755C" w:rsidTr="002055C4">
        <w:trPr>
          <w:trHeight w:val="752"/>
        </w:trPr>
        <w:tc>
          <w:tcPr>
            <w:tcW w:w="9778" w:type="dxa"/>
            <w:shd w:val="clear" w:color="auto" w:fill="auto"/>
          </w:tcPr>
          <w:p w:rsidR="004F15E6" w:rsidRPr="0061755C" w:rsidRDefault="004F15E6" w:rsidP="00311717">
            <w:pPr>
              <w:overflowPunct w:val="0"/>
              <w:autoSpaceDE w:val="0"/>
              <w:autoSpaceDN w:val="0"/>
              <w:adjustRightInd w:val="0"/>
              <w:textAlignment w:val="baseline"/>
              <w:rPr>
                <w:rFonts w:ascii="DecimaWE Rg" w:hAnsi="DecimaWE Rg"/>
                <w:b/>
              </w:rPr>
            </w:pPr>
          </w:p>
          <w:p w:rsidR="004F15E6" w:rsidRPr="00662608" w:rsidRDefault="004F15E6" w:rsidP="00311717">
            <w:pPr>
              <w:overflowPunct w:val="0"/>
              <w:autoSpaceDE w:val="0"/>
              <w:autoSpaceDN w:val="0"/>
              <w:adjustRightInd w:val="0"/>
              <w:jc w:val="center"/>
              <w:textAlignment w:val="baseline"/>
              <w:rPr>
                <w:rFonts w:ascii="DecimaWE Rg" w:hAnsi="DecimaWE Rg"/>
                <w:b/>
                <w:sz w:val="28"/>
                <w:szCs w:val="28"/>
              </w:rPr>
            </w:pPr>
            <w:r w:rsidRPr="00662608">
              <w:rPr>
                <w:rFonts w:ascii="DecimaWE Rg" w:hAnsi="DecimaWE Rg"/>
                <w:b/>
                <w:sz w:val="28"/>
                <w:szCs w:val="28"/>
              </w:rPr>
              <w:t xml:space="preserve">ALLEGATO / </w:t>
            </w:r>
            <w:r w:rsidRPr="00662608">
              <w:rPr>
                <w:rFonts w:ascii="DecimaWE Rg" w:hAnsi="DecimaWE Rg"/>
                <w:b/>
                <w:i/>
                <w:sz w:val="28"/>
                <w:szCs w:val="28"/>
              </w:rPr>
              <w:t>PRILOGA</w:t>
            </w:r>
            <w:r w:rsidRPr="00662608">
              <w:rPr>
                <w:rFonts w:ascii="DecimaWE Rg" w:hAnsi="DecimaWE Rg"/>
                <w:b/>
                <w:sz w:val="28"/>
                <w:szCs w:val="28"/>
              </w:rPr>
              <w:t xml:space="preserve"> </w:t>
            </w:r>
            <w:r w:rsidRPr="00662608">
              <w:rPr>
                <w:rFonts w:ascii="DecimaWE Rg" w:hAnsi="DecimaWE Rg"/>
                <w:b/>
                <w:sz w:val="32"/>
                <w:szCs w:val="32"/>
              </w:rPr>
              <w:t>A</w:t>
            </w:r>
            <w:r w:rsidR="009D3D61" w:rsidRPr="00662608">
              <w:rPr>
                <w:rFonts w:ascii="DecimaWE Rg" w:hAnsi="DecimaWE Rg"/>
                <w:b/>
                <w:sz w:val="32"/>
                <w:szCs w:val="32"/>
              </w:rPr>
              <w:t>3</w:t>
            </w:r>
          </w:p>
          <w:p w:rsidR="00662608" w:rsidRPr="0061755C" w:rsidRDefault="00662608" w:rsidP="00311717">
            <w:pPr>
              <w:overflowPunct w:val="0"/>
              <w:autoSpaceDE w:val="0"/>
              <w:autoSpaceDN w:val="0"/>
              <w:adjustRightInd w:val="0"/>
              <w:jc w:val="center"/>
              <w:textAlignment w:val="baseline"/>
              <w:rPr>
                <w:rFonts w:ascii="DecimaWE Rg" w:hAnsi="DecimaWE Rg"/>
                <w:b/>
              </w:rPr>
            </w:pPr>
          </w:p>
          <w:p w:rsidR="00DD5160" w:rsidRDefault="00DD5160" w:rsidP="00DD5160">
            <w:pPr>
              <w:pStyle w:val="Paragrafoelenco"/>
              <w:ind w:left="0"/>
              <w:jc w:val="both"/>
              <w:rPr>
                <w:rFonts w:ascii="DecimaWE Rg" w:hAnsi="DecimaWE Rg"/>
                <w:sz w:val="16"/>
                <w:szCs w:val="16"/>
              </w:rPr>
            </w:pPr>
            <w:r w:rsidRPr="00DD5160">
              <w:rPr>
                <w:rFonts w:ascii="DecimaWE Rg" w:hAnsi="DecimaWE Rg"/>
                <w:sz w:val="16"/>
                <w:szCs w:val="16"/>
                <w:lang w:val="sl-SI"/>
              </w:rPr>
              <w:t>D</w:t>
            </w:r>
            <w:r w:rsidRPr="00DD5160">
              <w:rPr>
                <w:rFonts w:ascii="DecimaWE Rg" w:hAnsi="DecimaWE Rg"/>
                <w:sz w:val="16"/>
                <w:szCs w:val="16"/>
              </w:rPr>
              <w:t>a compilare a cura dell</w:t>
            </w:r>
            <w:r w:rsidR="00AA7C03">
              <w:rPr>
                <w:rFonts w:ascii="DecimaWE Rg" w:hAnsi="DecimaWE Rg"/>
                <w:sz w:val="16"/>
                <w:szCs w:val="16"/>
              </w:rPr>
              <w:t xml:space="preserve">’ente proponente, il quale deve essere, </w:t>
            </w:r>
            <w:r w:rsidRPr="00DD5160">
              <w:rPr>
                <w:rFonts w:ascii="DecimaWE Rg" w:hAnsi="DecimaWE Rg"/>
                <w:sz w:val="16"/>
                <w:szCs w:val="16"/>
              </w:rPr>
              <w:t>ai sensi dell’</w:t>
            </w:r>
            <w:r w:rsidR="00AA7C03">
              <w:rPr>
                <w:rFonts w:ascii="DecimaWE Rg" w:hAnsi="DecimaWE Rg"/>
                <w:sz w:val="16"/>
                <w:szCs w:val="16"/>
              </w:rPr>
              <w:t xml:space="preserve">art. 7, c. 1, del Regolamento, </w:t>
            </w:r>
            <w:r w:rsidRPr="00DD5160">
              <w:rPr>
                <w:rFonts w:ascii="DecimaWE Rg" w:hAnsi="DecimaWE Rg"/>
                <w:sz w:val="16"/>
                <w:szCs w:val="16"/>
              </w:rPr>
              <w:t xml:space="preserve">un </w:t>
            </w:r>
            <w:r w:rsidRPr="002F12F3">
              <w:rPr>
                <w:rFonts w:ascii="DecimaWE Rg" w:hAnsi="DecimaWE Rg"/>
                <w:b/>
                <w:sz w:val="16"/>
                <w:szCs w:val="16"/>
              </w:rPr>
              <w:t>organismo a carattere associativo o federativo</w:t>
            </w:r>
            <w:r w:rsidRPr="00DD5160">
              <w:rPr>
                <w:rFonts w:ascii="DecimaWE Rg" w:hAnsi="DecimaWE Rg"/>
                <w:sz w:val="16"/>
                <w:szCs w:val="16"/>
              </w:rPr>
              <w:t xml:space="preserve"> di cui all’art. 18, c. 5, della L.R. 26/2007.</w:t>
            </w:r>
          </w:p>
          <w:p w:rsidR="004F15E6" w:rsidRPr="00F256E4" w:rsidRDefault="00DB5DD0" w:rsidP="00FA568C">
            <w:pPr>
              <w:pStyle w:val="Paragrafoelenco"/>
              <w:ind w:left="0"/>
              <w:jc w:val="both"/>
              <w:rPr>
                <w:rFonts w:ascii="DecimaWE Rg" w:hAnsi="DecimaWE Rg"/>
                <w:b/>
                <w:i/>
                <w:sz w:val="16"/>
                <w:szCs w:val="16"/>
                <w:lang w:val="sl-SI"/>
              </w:rPr>
            </w:pPr>
            <w:r w:rsidRPr="00DB5DD0">
              <w:rPr>
                <w:rFonts w:ascii="DecimaWE Rg" w:hAnsi="DecimaWE Rg"/>
                <w:i/>
                <w:sz w:val="16"/>
                <w:szCs w:val="16"/>
                <w:lang w:val="sl-SI"/>
              </w:rPr>
              <w:t>Preglednico i</w:t>
            </w:r>
            <w:r w:rsidR="00DD5160" w:rsidRPr="00DB5DD0">
              <w:rPr>
                <w:rFonts w:ascii="DecimaWE Rg" w:hAnsi="DecimaWE Rg"/>
                <w:i/>
                <w:sz w:val="16"/>
                <w:szCs w:val="16"/>
                <w:lang w:val="sl-SI"/>
              </w:rPr>
              <w:t xml:space="preserve">zpolni ustanova </w:t>
            </w:r>
            <w:r w:rsidR="00FA568C">
              <w:rPr>
                <w:rFonts w:ascii="DecimaWE Rg" w:hAnsi="DecimaWE Rg"/>
                <w:i/>
                <w:sz w:val="16"/>
                <w:szCs w:val="16"/>
                <w:lang w:val="sl-SI"/>
              </w:rPr>
              <w:t>predlagateljica</w:t>
            </w:r>
            <w:r w:rsidR="00DD5160" w:rsidRPr="00DB5DD0">
              <w:rPr>
                <w:rFonts w:ascii="DecimaWE Rg" w:hAnsi="DecimaWE Rg"/>
                <w:i/>
                <w:sz w:val="16"/>
                <w:szCs w:val="16"/>
                <w:lang w:val="sl-SI"/>
              </w:rPr>
              <w:t xml:space="preserve">, ki mora </w:t>
            </w:r>
            <w:r w:rsidRPr="00DB5DD0">
              <w:rPr>
                <w:rFonts w:ascii="DecimaWE Rg" w:hAnsi="DecimaWE Rg"/>
                <w:i/>
                <w:sz w:val="16"/>
                <w:szCs w:val="16"/>
                <w:lang w:val="sl-SI"/>
              </w:rPr>
              <w:t xml:space="preserve">biti </w:t>
            </w:r>
            <w:r w:rsidR="00DD5160" w:rsidRPr="002F12F3">
              <w:rPr>
                <w:rFonts w:ascii="DecimaWE Rg" w:hAnsi="DecimaWE Rg"/>
                <w:b/>
                <w:i/>
                <w:sz w:val="16"/>
                <w:szCs w:val="16"/>
                <w:lang w:val="sl-SI"/>
              </w:rPr>
              <w:t xml:space="preserve">zveza ali federacija </w:t>
            </w:r>
            <w:r w:rsidR="00DD5160" w:rsidRPr="00DB5DD0">
              <w:rPr>
                <w:rFonts w:ascii="DecimaWE Rg" w:hAnsi="DecimaWE Rg"/>
                <w:i/>
                <w:sz w:val="16"/>
                <w:szCs w:val="16"/>
                <w:lang w:val="sl-SI"/>
              </w:rPr>
              <w:t>iz petega odst</w:t>
            </w:r>
            <w:r w:rsidRPr="00DB5DD0">
              <w:rPr>
                <w:rFonts w:ascii="DecimaWE Rg" w:hAnsi="DecimaWE Rg"/>
                <w:i/>
                <w:sz w:val="16"/>
                <w:szCs w:val="16"/>
                <w:lang w:val="sl-SI"/>
              </w:rPr>
              <w:t xml:space="preserve">avka 18. člena D.Z. št. 26/2007, kot </w:t>
            </w:r>
            <w:r w:rsidR="000A6831">
              <w:rPr>
                <w:rFonts w:ascii="DecimaWE Rg" w:hAnsi="DecimaWE Rg"/>
                <w:i/>
                <w:sz w:val="16"/>
                <w:szCs w:val="16"/>
                <w:lang w:val="sl-SI"/>
              </w:rPr>
              <w:t>t</w:t>
            </w:r>
            <w:r w:rsidRPr="00DB5DD0">
              <w:rPr>
                <w:rFonts w:ascii="DecimaWE Rg" w:hAnsi="DecimaWE Rg"/>
                <w:i/>
                <w:sz w:val="16"/>
                <w:szCs w:val="16"/>
                <w:lang w:val="sl-SI"/>
              </w:rPr>
              <w:t>o določa peti odstavek 7. člena Pravilnika.</w:t>
            </w:r>
          </w:p>
        </w:tc>
      </w:tr>
    </w:tbl>
    <w:p w:rsidR="002055C4" w:rsidRDefault="002055C4" w:rsidP="004F15E6">
      <w:pPr>
        <w:pStyle w:val="Paragrafoelenco"/>
        <w:ind w:left="0"/>
        <w:rPr>
          <w:rFonts w:ascii="DecimaWE Rg" w:hAnsi="DecimaWE Rg"/>
          <w:b/>
        </w:rPr>
      </w:pPr>
    </w:p>
    <w:tbl>
      <w:tblPr>
        <w:tblpPr w:leftFromText="141" w:rightFromText="141" w:vertAnchor="text" w:horzAnchor="margin" w:tblpX="40" w:tblpY="123"/>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732"/>
      </w:tblGrid>
      <w:tr w:rsidR="00902760" w:rsidTr="00902760">
        <w:tc>
          <w:tcPr>
            <w:tcW w:w="5083" w:type="dxa"/>
            <w:shd w:val="clear" w:color="auto" w:fill="auto"/>
          </w:tcPr>
          <w:p w:rsidR="00902760" w:rsidRPr="007564C9" w:rsidRDefault="00902760" w:rsidP="00902760">
            <w:pPr>
              <w:overflowPunct w:val="0"/>
              <w:autoSpaceDE w:val="0"/>
              <w:autoSpaceDN w:val="0"/>
              <w:adjustRightInd w:val="0"/>
              <w:spacing w:before="60"/>
              <w:jc w:val="both"/>
              <w:textAlignment w:val="baseline"/>
              <w:rPr>
                <w:rFonts w:ascii="DecimaWE Rg" w:hAnsi="DecimaWE Rg"/>
                <w:b/>
                <w:color w:val="000000"/>
                <w:sz w:val="14"/>
                <w:szCs w:val="14"/>
              </w:rPr>
            </w:pPr>
            <w:r w:rsidRPr="007564C9">
              <w:rPr>
                <w:rFonts w:ascii="DecimaWE Rg" w:hAnsi="DecimaWE Rg"/>
                <w:b/>
                <w:color w:val="000000"/>
                <w:sz w:val="14"/>
                <w:szCs w:val="14"/>
              </w:rPr>
              <w:t>Riferimento normativo</w:t>
            </w:r>
          </w:p>
        </w:tc>
        <w:tc>
          <w:tcPr>
            <w:tcW w:w="4732" w:type="dxa"/>
            <w:shd w:val="clear" w:color="auto" w:fill="auto"/>
          </w:tcPr>
          <w:p w:rsidR="00902760" w:rsidRPr="007564C9" w:rsidRDefault="00902760" w:rsidP="00902760">
            <w:pPr>
              <w:overflowPunct w:val="0"/>
              <w:autoSpaceDE w:val="0"/>
              <w:autoSpaceDN w:val="0"/>
              <w:adjustRightInd w:val="0"/>
              <w:spacing w:before="60"/>
              <w:jc w:val="both"/>
              <w:textAlignment w:val="baseline"/>
              <w:rPr>
                <w:rFonts w:ascii="DecimaWE Rg" w:hAnsi="DecimaWE Rg"/>
                <w:b/>
                <w:i/>
                <w:color w:val="000000"/>
                <w:sz w:val="14"/>
                <w:szCs w:val="14"/>
                <w:lang w:val="sl-SI"/>
              </w:rPr>
            </w:pPr>
            <w:r w:rsidRPr="007564C9">
              <w:rPr>
                <w:rFonts w:ascii="DecimaWE Rg" w:hAnsi="DecimaWE Rg"/>
                <w:b/>
                <w:i/>
                <w:color w:val="000000"/>
                <w:sz w:val="14"/>
                <w:szCs w:val="14"/>
                <w:lang w:val="sl-SI"/>
              </w:rPr>
              <w:t>Pravna podlaga</w:t>
            </w:r>
            <w:r w:rsidRPr="007564C9">
              <w:rPr>
                <w:rFonts w:ascii="DecimaWE Rg" w:hAnsi="DecimaWE Rg"/>
                <w:b/>
                <w:color w:val="000000"/>
                <w:sz w:val="14"/>
                <w:szCs w:val="14"/>
                <w:lang w:val="sl-SI"/>
              </w:rPr>
              <w:t>:</w:t>
            </w:r>
          </w:p>
        </w:tc>
      </w:tr>
      <w:tr w:rsidR="00902760" w:rsidTr="00902760">
        <w:tc>
          <w:tcPr>
            <w:tcW w:w="5083" w:type="dxa"/>
            <w:shd w:val="clear" w:color="auto" w:fill="auto"/>
          </w:tcPr>
          <w:p w:rsidR="00902760" w:rsidRPr="007564C9" w:rsidRDefault="00902760" w:rsidP="00902760">
            <w:pPr>
              <w:overflowPunct w:val="0"/>
              <w:autoSpaceDE w:val="0"/>
              <w:autoSpaceDN w:val="0"/>
              <w:adjustRightInd w:val="0"/>
              <w:spacing w:before="60"/>
              <w:jc w:val="both"/>
              <w:textAlignment w:val="baseline"/>
              <w:rPr>
                <w:rFonts w:ascii="DecimaWE Rg" w:hAnsi="DecimaWE Rg"/>
                <w:color w:val="000000"/>
                <w:sz w:val="14"/>
                <w:szCs w:val="14"/>
              </w:rPr>
            </w:pPr>
            <w:r w:rsidRPr="007564C9">
              <w:rPr>
                <w:rFonts w:ascii="DecimaWE Rg" w:hAnsi="DecimaWE Rg"/>
                <w:color w:val="000000"/>
                <w:sz w:val="14"/>
                <w:szCs w:val="14"/>
              </w:rPr>
              <w:t xml:space="preserve">Regolamento per la concessione dei contributi a favore di enti e organizzazioni della minoranza linguistica slovena, di cui all’articolo 18, comma 12, della legge regionale 16 novembre 2007, n. 26 (Norme regionali per la tutela della minoranza linguistica slovena), </w:t>
            </w:r>
            <w:r w:rsidRPr="003C7754">
              <w:rPr>
                <w:rFonts w:ascii="DecimaWE Rg" w:hAnsi="DecimaWE Rg"/>
                <w:color w:val="000000"/>
                <w:sz w:val="14"/>
                <w:szCs w:val="14"/>
              </w:rPr>
              <w:t xml:space="preserve"> emanato con DPReg. 246 del 25/11/2015</w:t>
            </w:r>
            <w:r>
              <w:rPr>
                <w:rFonts w:ascii="DecimaWE Rg" w:hAnsi="DecimaWE Rg"/>
                <w:color w:val="000000"/>
                <w:sz w:val="14"/>
                <w:szCs w:val="14"/>
              </w:rPr>
              <w:t xml:space="preserve">, </w:t>
            </w:r>
            <w:r w:rsidRPr="007564C9">
              <w:rPr>
                <w:rFonts w:ascii="DecimaWE Rg" w:hAnsi="DecimaWE Rg"/>
                <w:color w:val="000000"/>
                <w:sz w:val="14"/>
                <w:szCs w:val="14"/>
              </w:rPr>
              <w:t>qui di seguito denominato Regolamento.</w:t>
            </w:r>
          </w:p>
        </w:tc>
        <w:tc>
          <w:tcPr>
            <w:tcW w:w="4732" w:type="dxa"/>
            <w:shd w:val="clear" w:color="auto" w:fill="auto"/>
          </w:tcPr>
          <w:p w:rsidR="00902760" w:rsidRPr="002855D9" w:rsidRDefault="00902760" w:rsidP="00902760">
            <w:pPr>
              <w:overflowPunct w:val="0"/>
              <w:autoSpaceDE w:val="0"/>
              <w:autoSpaceDN w:val="0"/>
              <w:adjustRightInd w:val="0"/>
              <w:spacing w:before="60"/>
              <w:jc w:val="both"/>
              <w:textAlignment w:val="baseline"/>
              <w:rPr>
                <w:rFonts w:ascii="DecimaWE Rg" w:hAnsi="DecimaWE Rg"/>
                <w:color w:val="000000"/>
                <w:sz w:val="14"/>
                <w:szCs w:val="14"/>
                <w:lang w:val="sl-SI"/>
              </w:rPr>
            </w:pPr>
            <w:r w:rsidRPr="007564C9">
              <w:rPr>
                <w:rFonts w:ascii="DecimaWE Rg" w:hAnsi="DecimaWE Rg"/>
                <w:i/>
                <w:color w:val="000000"/>
                <w:sz w:val="14"/>
                <w:szCs w:val="14"/>
                <w:lang w:val="sl-SI"/>
              </w:rPr>
              <w:t xml:space="preserve">Pravilnik o dodeljevanju prispevkov ustanovam in organizacijam slovenske jezikovne manjšine po dvanajstem odstavku 18. člena deželnega </w:t>
            </w:r>
            <w:r w:rsidRPr="00E86789">
              <w:rPr>
                <w:rFonts w:ascii="DecimaWE Rg" w:hAnsi="DecimaWE Rg"/>
                <w:i/>
                <w:color w:val="000000"/>
                <w:sz w:val="14"/>
                <w:szCs w:val="14"/>
                <w:lang w:val="sl-SI"/>
              </w:rPr>
              <w:t>zakona št. 26 z dne 16 novembra 2007 (Deželni predpisi za zaščito slovenske manjšine),  ki je bil izdan z O.P.Dež. št. 246 z dne 25. 11. 2015</w:t>
            </w:r>
            <w:r>
              <w:rPr>
                <w:rFonts w:ascii="DecimaWE Rg" w:hAnsi="DecimaWE Rg"/>
                <w:i/>
                <w:color w:val="000000"/>
                <w:sz w:val="14"/>
                <w:szCs w:val="14"/>
                <w:lang w:val="sl-SI"/>
              </w:rPr>
              <w:t>, v nadaljevanju: P</w:t>
            </w:r>
            <w:r w:rsidRPr="00E86789">
              <w:rPr>
                <w:rFonts w:ascii="DecimaWE Rg" w:hAnsi="DecimaWE Rg"/>
                <w:i/>
                <w:color w:val="000000"/>
                <w:sz w:val="14"/>
                <w:szCs w:val="14"/>
                <w:lang w:val="sl-SI"/>
              </w:rPr>
              <w:t>ravilnik</w:t>
            </w:r>
            <w:r w:rsidRPr="007564C9">
              <w:rPr>
                <w:rFonts w:ascii="DecimaWE Rg" w:hAnsi="DecimaWE Rg"/>
                <w:i/>
                <w:color w:val="000000"/>
                <w:sz w:val="14"/>
                <w:szCs w:val="14"/>
                <w:lang w:val="sl-SI"/>
              </w:rPr>
              <w:t>.</w:t>
            </w:r>
          </w:p>
        </w:tc>
      </w:tr>
    </w:tbl>
    <w:p w:rsidR="00F256E4" w:rsidRPr="007A5153" w:rsidRDefault="00F256E4" w:rsidP="004F15E6">
      <w:pPr>
        <w:pStyle w:val="Paragrafoelenco"/>
        <w:ind w:left="0"/>
        <w:rPr>
          <w:rFonts w:ascii="DecimaWE Rg" w:hAnsi="DecimaWE Rg"/>
          <w:b/>
        </w:rPr>
      </w:pPr>
    </w:p>
    <w:p w:rsidR="001E21B6" w:rsidRPr="001E21B6" w:rsidRDefault="004F15E6" w:rsidP="004F15E6">
      <w:pPr>
        <w:pStyle w:val="Paragrafoelenco"/>
        <w:ind w:left="0"/>
        <w:jc w:val="center"/>
        <w:rPr>
          <w:rFonts w:ascii="DecimaWE Rg" w:hAnsi="DecimaWE Rg"/>
          <w:b/>
        </w:rPr>
      </w:pPr>
      <w:r w:rsidRPr="007A5153">
        <w:rPr>
          <w:rFonts w:ascii="DecimaWE Rg" w:hAnsi="DecimaWE Rg"/>
          <w:b/>
        </w:rPr>
        <w:t xml:space="preserve">PIANO FINANZIARIO </w:t>
      </w:r>
      <w:r w:rsidRPr="007A5153">
        <w:rPr>
          <w:rFonts w:ascii="DecimaWE Rg" w:hAnsi="DecimaWE Rg"/>
          <w:b/>
          <w:u w:val="single"/>
        </w:rPr>
        <w:t>COMPLESSIVO</w:t>
      </w:r>
      <w:r w:rsidR="00CB662D">
        <w:rPr>
          <w:rStyle w:val="Rimandonotadichiusura"/>
          <w:rFonts w:ascii="DecimaWE Rg" w:hAnsi="DecimaWE Rg"/>
          <w:b/>
          <w:u w:val="single"/>
        </w:rPr>
        <w:endnoteReference w:id="1"/>
      </w:r>
      <w:r w:rsidR="000A6831">
        <w:rPr>
          <w:rFonts w:ascii="DecimaWE Rg" w:hAnsi="DecimaWE Rg"/>
          <w:b/>
          <w:u w:val="single"/>
        </w:rPr>
        <w:t xml:space="preserve"> </w:t>
      </w:r>
      <w:r w:rsidR="000A6831" w:rsidRPr="001E21B6">
        <w:rPr>
          <w:rFonts w:ascii="DecimaWE Rg" w:hAnsi="DecimaWE Rg"/>
          <w:b/>
        </w:rPr>
        <w:t>DELLE ATTIVITÀ E DEGLI INTERVENTI</w:t>
      </w:r>
    </w:p>
    <w:p w:rsidR="004F15E6" w:rsidRDefault="000A6831" w:rsidP="004F15E6">
      <w:pPr>
        <w:pStyle w:val="Paragrafoelenco"/>
        <w:ind w:left="0"/>
        <w:jc w:val="center"/>
        <w:rPr>
          <w:rFonts w:ascii="DecimaWE Rg" w:hAnsi="DecimaWE Rg"/>
          <w:b/>
        </w:rPr>
      </w:pPr>
      <w:r w:rsidRPr="001E21B6">
        <w:rPr>
          <w:rFonts w:ascii="DecimaWE Rg" w:hAnsi="DecimaWE Rg"/>
          <w:b/>
        </w:rPr>
        <w:t xml:space="preserve"> DEGLI ENTI ED ORGANIZZAZIONI MINORI CHE ADERISCONO ALL’ENTE PROPONENTE</w:t>
      </w:r>
    </w:p>
    <w:p w:rsidR="003678E4" w:rsidRPr="001E21B6" w:rsidRDefault="003678E4" w:rsidP="004F15E6">
      <w:pPr>
        <w:pStyle w:val="Paragrafoelenco"/>
        <w:ind w:left="0"/>
        <w:jc w:val="center"/>
        <w:rPr>
          <w:rFonts w:ascii="DecimaWE Rg" w:hAnsi="DecimaWE Rg"/>
          <w:b/>
        </w:rPr>
      </w:pPr>
    </w:p>
    <w:p w:rsidR="000A6831" w:rsidRDefault="004F15E6" w:rsidP="004F15E6">
      <w:pPr>
        <w:pStyle w:val="Paragrafoelenco"/>
        <w:ind w:left="0"/>
        <w:jc w:val="center"/>
        <w:rPr>
          <w:rFonts w:ascii="DecimaWE Rg" w:hAnsi="DecimaWE Rg"/>
          <w:b/>
          <w:i/>
          <w:lang w:val="sl-SI"/>
        </w:rPr>
      </w:pPr>
      <w:r w:rsidRPr="007A5153">
        <w:rPr>
          <w:rFonts w:ascii="DecimaWE Rg" w:hAnsi="DecimaWE Rg"/>
          <w:b/>
          <w:i/>
          <w:u w:val="single"/>
          <w:lang w:val="sl-SI"/>
        </w:rPr>
        <w:t>SKUPNI</w:t>
      </w:r>
      <w:r w:rsidRPr="007A5153">
        <w:rPr>
          <w:rFonts w:ascii="DecimaWE Rg" w:hAnsi="DecimaWE Rg"/>
          <w:b/>
          <w:i/>
          <w:lang w:val="sl-SI"/>
        </w:rPr>
        <w:t xml:space="preserve"> FINANČNI NAČRT</w:t>
      </w:r>
      <w:r w:rsidR="00CB662D">
        <w:rPr>
          <w:rStyle w:val="Rimandonotadichiusura"/>
          <w:rFonts w:ascii="DecimaWE Rg" w:hAnsi="DecimaWE Rg"/>
          <w:b/>
          <w:i/>
          <w:lang w:val="sl-SI"/>
        </w:rPr>
        <w:endnoteReference w:id="2"/>
      </w:r>
      <w:r w:rsidR="000A6831">
        <w:rPr>
          <w:rFonts w:ascii="DecimaWE Rg" w:hAnsi="DecimaWE Rg"/>
          <w:b/>
          <w:i/>
          <w:lang w:val="sl-SI"/>
        </w:rPr>
        <w:t xml:space="preserve"> DEJAVNOSTI IN POSEGOV, </w:t>
      </w:r>
    </w:p>
    <w:p w:rsidR="004F15E6" w:rsidRDefault="000A6831" w:rsidP="004F15E6">
      <w:pPr>
        <w:pStyle w:val="Paragrafoelenco"/>
        <w:ind w:left="0"/>
        <w:jc w:val="center"/>
        <w:rPr>
          <w:rFonts w:ascii="DecimaWE Rg" w:hAnsi="DecimaWE Rg"/>
          <w:b/>
          <w:i/>
          <w:lang w:val="sl-SI"/>
        </w:rPr>
      </w:pPr>
      <w:r>
        <w:rPr>
          <w:rFonts w:ascii="DecimaWE Rg" w:hAnsi="DecimaWE Rg"/>
          <w:b/>
          <w:i/>
          <w:lang w:val="sl-SI"/>
        </w:rPr>
        <w:t xml:space="preserve">KI JIH IZVEDEJO MANJŠE USTANOVE IN ORGANIZACIJE ČLANICE USTANOVE </w:t>
      </w:r>
      <w:r w:rsidR="00FA568C">
        <w:rPr>
          <w:rFonts w:ascii="DecimaWE Rg" w:hAnsi="DecimaWE Rg"/>
          <w:b/>
          <w:i/>
          <w:lang w:val="sl-SI"/>
        </w:rPr>
        <w:t>PREDLAGATELJICE</w:t>
      </w:r>
    </w:p>
    <w:p w:rsidR="002055C4" w:rsidRPr="007A5153" w:rsidRDefault="002055C4" w:rsidP="00DD5160">
      <w:pPr>
        <w:pStyle w:val="Paragrafoelenco"/>
        <w:ind w:left="0"/>
        <w:jc w:val="both"/>
        <w:rPr>
          <w:rFonts w:ascii="DecimaWE Rg" w:hAnsi="DecimaWE Rg"/>
          <w:b/>
          <w:i/>
          <w:lang w:val="sl-SI"/>
        </w:rPr>
      </w:pPr>
    </w:p>
    <w:p w:rsidR="004F15E6" w:rsidRPr="007A5153" w:rsidRDefault="004F15E6" w:rsidP="004F15E6">
      <w:pPr>
        <w:pStyle w:val="Paragrafoelenco"/>
        <w:rPr>
          <w:rFonts w:ascii="DecimaWE Rg" w:hAnsi="DecimaWE R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157"/>
      </w:tblGrid>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cs="Arial"/>
                <w:sz w:val="19"/>
                <w:szCs w:val="19"/>
              </w:rPr>
              <w:t xml:space="preserve">spese per compensi per prestazioni di terzi ai fini dell’attuazione delle attività programmate </w:t>
            </w:r>
          </w:p>
          <w:p w:rsidR="004F15E6" w:rsidRPr="003678E4" w:rsidRDefault="004F15E6" w:rsidP="00311717">
            <w:pPr>
              <w:pStyle w:val="Paragrafoelenco"/>
              <w:overflowPunct w:val="0"/>
              <w:autoSpaceDE w:val="0"/>
              <w:autoSpaceDN w:val="0"/>
              <w:adjustRightInd w:val="0"/>
              <w:textAlignment w:val="baseline"/>
              <w:rPr>
                <w:rFonts w:ascii="DecimaWE Rg" w:hAnsi="DecimaWE Rg" w:cs="Arial"/>
                <w:i/>
                <w:sz w:val="19"/>
                <w:szCs w:val="19"/>
                <w:lang w:val="sl-SI"/>
              </w:rPr>
            </w:pPr>
            <w:r w:rsidRPr="003678E4">
              <w:rPr>
                <w:rFonts w:ascii="DecimaWE Rg" w:hAnsi="DecimaWE Rg" w:cs="Arial"/>
                <w:i/>
                <w:sz w:val="19"/>
                <w:szCs w:val="19"/>
                <w:lang w:val="sl-SI"/>
              </w:rPr>
              <w:t>stroški za plačila storitev, ki jih tretje osebe nudijo za izvedbo načrtovanih dejavnosti</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cs="Arial"/>
                <w:sz w:val="19"/>
                <w:szCs w:val="19"/>
              </w:rPr>
              <w:t xml:space="preserve">spese per il personale dipendente dei singoli enti specificatamente impiegato nello svolgimento delle attività oggetto di finanziamento </w:t>
            </w:r>
          </w:p>
          <w:p w:rsidR="004F15E6" w:rsidRPr="003678E4" w:rsidRDefault="004F15E6" w:rsidP="00311717">
            <w:pPr>
              <w:pStyle w:val="Paragrafoelenco"/>
              <w:overflowPunct w:val="0"/>
              <w:autoSpaceDE w:val="0"/>
              <w:autoSpaceDN w:val="0"/>
              <w:adjustRightInd w:val="0"/>
              <w:textAlignment w:val="baseline"/>
              <w:rPr>
                <w:rFonts w:ascii="DecimaWE Rg" w:hAnsi="DecimaWE Rg" w:cs="Arial"/>
                <w:i/>
                <w:sz w:val="19"/>
                <w:szCs w:val="19"/>
                <w:lang w:val="sl-SI"/>
              </w:rPr>
            </w:pPr>
            <w:r w:rsidRPr="003678E4">
              <w:rPr>
                <w:rFonts w:ascii="DecimaWE Rg" w:hAnsi="DecimaWE Rg" w:cs="Arial"/>
                <w:i/>
                <w:sz w:val="19"/>
                <w:szCs w:val="19"/>
                <w:lang w:val="sl-SI"/>
              </w:rPr>
              <w:t>stroški za osebje, ki je zaposleno pri posameznih ustanovah in se izrecno uporablja za izvajanje financiranih dejavnosti</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sz w:val="19"/>
                <w:szCs w:val="19"/>
              </w:rPr>
              <w:t xml:space="preserve">spese di affitto sale, </w:t>
            </w:r>
            <w:r w:rsidRPr="0061755C">
              <w:rPr>
                <w:rFonts w:ascii="DecimaWE Rg" w:hAnsi="DecimaWE Rg"/>
                <w:snapToGrid w:val="0"/>
                <w:color w:val="000000"/>
                <w:sz w:val="19"/>
                <w:szCs w:val="19"/>
              </w:rPr>
              <w:t>spazi, locali e impianti sportivi</w:t>
            </w:r>
            <w:r w:rsidRPr="0061755C">
              <w:rPr>
                <w:rFonts w:ascii="DecimaWE Rg" w:hAnsi="DecimaWE Rg"/>
                <w:sz w:val="19"/>
                <w:szCs w:val="19"/>
              </w:rPr>
              <w:t xml:space="preserve"> e noleggio di materiali e attrezzature necessarie per la realizzazione del programma di attività </w:t>
            </w:r>
          </w:p>
          <w:p w:rsidR="004F15E6" w:rsidRPr="003678E4" w:rsidRDefault="004F15E6" w:rsidP="00311717">
            <w:pPr>
              <w:pStyle w:val="Paragrafoelenco"/>
              <w:overflowPunct w:val="0"/>
              <w:autoSpaceDE w:val="0"/>
              <w:autoSpaceDN w:val="0"/>
              <w:adjustRightInd w:val="0"/>
              <w:textAlignment w:val="baseline"/>
              <w:rPr>
                <w:rFonts w:ascii="DecimaWE Rg" w:hAnsi="DecimaWE Rg"/>
                <w:i/>
                <w:sz w:val="19"/>
                <w:szCs w:val="19"/>
                <w:lang w:val="sl-SI"/>
              </w:rPr>
            </w:pPr>
            <w:r w:rsidRPr="003678E4">
              <w:rPr>
                <w:rFonts w:ascii="DecimaWE Rg" w:hAnsi="DecimaWE Rg"/>
                <w:i/>
                <w:sz w:val="19"/>
                <w:szCs w:val="19"/>
                <w:lang w:val="sl-SI"/>
              </w:rPr>
              <w:t>stroški najema dvoran, športnih prostorov, dvoran in objektov ter najema materiala in opreme, potrebne za izvajanje programa dejavnosti</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sz w:val="19"/>
                <w:szCs w:val="19"/>
              </w:rPr>
              <w:t xml:space="preserve">spese per la partecipazione a rassegne e concorsi, campionati  sportivi o a singole competizioni o tornei, spese assicurative, </w:t>
            </w:r>
            <w:r w:rsidRPr="0061755C">
              <w:rPr>
                <w:rFonts w:ascii="DecimaWE Rg" w:hAnsi="DecimaWE Rg" w:cs="Arial"/>
                <w:iCs/>
                <w:sz w:val="19"/>
                <w:szCs w:val="19"/>
              </w:rPr>
              <w:t xml:space="preserve">spese per l’accesso a opere protette dal diritto d’autore e ad altri contenuti protetti da diritti di proprietà intellettuale </w:t>
            </w:r>
          </w:p>
          <w:p w:rsidR="004F15E6" w:rsidRPr="003678E4" w:rsidRDefault="004F15E6" w:rsidP="00311717">
            <w:pPr>
              <w:pStyle w:val="Paragrafoelenco"/>
              <w:overflowPunct w:val="0"/>
              <w:autoSpaceDE w:val="0"/>
              <w:autoSpaceDN w:val="0"/>
              <w:adjustRightInd w:val="0"/>
              <w:textAlignment w:val="baseline"/>
              <w:rPr>
                <w:rFonts w:ascii="DecimaWE Rg" w:hAnsi="DecimaWE Rg"/>
                <w:i/>
                <w:sz w:val="19"/>
                <w:szCs w:val="19"/>
                <w:lang w:val="sl-SI"/>
              </w:rPr>
            </w:pPr>
            <w:r w:rsidRPr="003678E4">
              <w:rPr>
                <w:rFonts w:ascii="DecimaWE Rg" w:hAnsi="DecimaWE Rg"/>
                <w:i/>
                <w:sz w:val="19"/>
                <w:szCs w:val="19"/>
                <w:lang w:val="sl-SI"/>
              </w:rPr>
              <w:t>stroški za sodelovanje na revijah in natečajih, posameznih tekmovanjih ali športnih turnirjih, stroški za zavarovanje, stroški za uporabo avtorsko zaščitenih del in drugih vsebin, zaščitenih s pravicami intelektualne lastnine</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bookmarkStart w:id="0" w:name="_GoBack"/>
            <w:bookmarkEnd w:id="0"/>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sz w:val="19"/>
                <w:szCs w:val="19"/>
              </w:rPr>
              <w:t xml:space="preserve">spese di viaggio, di vitto e di alloggio per la partecipazione a manifestazioni ed eventi organizzati nell’ambito del programma di attività (nel limite massimo del 20 per cento del contributo) </w:t>
            </w:r>
          </w:p>
          <w:p w:rsidR="004F15E6" w:rsidRDefault="004F15E6" w:rsidP="00311717">
            <w:pPr>
              <w:pStyle w:val="Paragrafoelenco"/>
              <w:overflowPunct w:val="0"/>
              <w:autoSpaceDE w:val="0"/>
              <w:autoSpaceDN w:val="0"/>
              <w:adjustRightInd w:val="0"/>
              <w:textAlignment w:val="baseline"/>
              <w:rPr>
                <w:rFonts w:ascii="DecimaWE Rg" w:hAnsi="DecimaWE Rg"/>
                <w:i/>
                <w:sz w:val="19"/>
                <w:szCs w:val="19"/>
                <w:lang w:val="sl-SI"/>
              </w:rPr>
            </w:pPr>
            <w:r w:rsidRPr="0061755C">
              <w:rPr>
                <w:rFonts w:ascii="DecimaWE Rg" w:hAnsi="DecimaWE Rg"/>
                <w:i/>
                <w:sz w:val="19"/>
                <w:szCs w:val="19"/>
              </w:rPr>
              <w:t>potni stroški, stroški nastanitve in prehrane, ki nastanejo za tretje osebe ali za zaposleno osebje, ki je dodeljeno za sodelovanje na prireditvah in dogodkih, organiziranih v sklopu dejavnosti ustanove (do najve</w:t>
            </w:r>
            <w:r w:rsidRPr="0061755C">
              <w:rPr>
                <w:rFonts w:ascii="DecimaWE Rg" w:hAnsi="DecimaWE Rg"/>
                <w:i/>
                <w:sz w:val="19"/>
                <w:szCs w:val="19"/>
                <w:lang w:val="sl-SI"/>
              </w:rPr>
              <w:t>č 20 % prispevka)</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lang w:val="sl-SI"/>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sz w:val="19"/>
                <w:szCs w:val="19"/>
              </w:rPr>
              <w:t xml:space="preserve">spese promozionali e pubblicitarie, spese per affissioni, spese di stampa, spese per coppe e premi per concorsi </w:t>
            </w:r>
            <w:r w:rsidR="00C3150A">
              <w:rPr>
                <w:rFonts w:ascii="DecimaWE Rg" w:hAnsi="DecimaWE Rg"/>
                <w:sz w:val="19"/>
                <w:szCs w:val="19"/>
              </w:rPr>
              <w:t>(</w:t>
            </w:r>
            <w:r w:rsidRPr="0061755C">
              <w:rPr>
                <w:rFonts w:ascii="DecimaWE Rg" w:hAnsi="DecimaWE Rg"/>
                <w:snapToGrid w:val="0"/>
                <w:color w:val="000000"/>
                <w:sz w:val="19"/>
                <w:szCs w:val="19"/>
              </w:rPr>
              <w:t>nel limite massimo del 20 per cento del contributo</w:t>
            </w:r>
            <w:r w:rsidR="00C3150A">
              <w:rPr>
                <w:rFonts w:ascii="DecimaWE Rg" w:hAnsi="DecimaWE Rg"/>
                <w:snapToGrid w:val="0"/>
                <w:color w:val="000000"/>
                <w:sz w:val="19"/>
                <w:szCs w:val="19"/>
              </w:rPr>
              <w:t>)</w:t>
            </w:r>
            <w:r w:rsidRPr="0061755C">
              <w:rPr>
                <w:rFonts w:ascii="DecimaWE Rg" w:hAnsi="DecimaWE Rg"/>
                <w:snapToGrid w:val="0"/>
                <w:color w:val="000000"/>
                <w:sz w:val="19"/>
                <w:szCs w:val="19"/>
              </w:rPr>
              <w:t xml:space="preserve"> </w:t>
            </w:r>
            <w:r w:rsidRPr="0061755C">
              <w:rPr>
                <w:rFonts w:ascii="DecimaWE Rg" w:hAnsi="DecimaWE Rg"/>
                <w:i/>
                <w:snapToGrid w:val="0"/>
                <w:color w:val="000000"/>
                <w:sz w:val="19"/>
                <w:szCs w:val="19"/>
              </w:rPr>
              <w:t xml:space="preserve"> </w:t>
            </w:r>
          </w:p>
          <w:p w:rsidR="004F15E6" w:rsidRDefault="004F15E6" w:rsidP="00311717">
            <w:pPr>
              <w:pStyle w:val="Paragrafoelenco"/>
              <w:overflowPunct w:val="0"/>
              <w:autoSpaceDE w:val="0"/>
              <w:autoSpaceDN w:val="0"/>
              <w:adjustRightInd w:val="0"/>
              <w:textAlignment w:val="baseline"/>
              <w:rPr>
                <w:rFonts w:ascii="DecimaWE Rg" w:hAnsi="DecimaWE Rg"/>
                <w:i/>
                <w:sz w:val="19"/>
                <w:szCs w:val="19"/>
              </w:rPr>
            </w:pPr>
            <w:r w:rsidRPr="0061755C">
              <w:rPr>
                <w:rFonts w:ascii="DecimaWE Rg" w:hAnsi="DecimaWE Rg"/>
                <w:i/>
                <w:sz w:val="19"/>
                <w:szCs w:val="19"/>
              </w:rPr>
              <w:t>stroški promocije in oglaševanja, stroški za razgrnitve, stroški tiska, stroški za pokale in nagrade za natečaje (do največ 20 % prispevka)</w:t>
            </w:r>
          </w:p>
          <w:p w:rsidR="00DD5160" w:rsidRPr="0061755C" w:rsidRDefault="00DD5160" w:rsidP="00311717">
            <w:pPr>
              <w:pStyle w:val="Paragrafoelenco"/>
              <w:overflowPunct w:val="0"/>
              <w:autoSpaceDE w:val="0"/>
              <w:autoSpaceDN w:val="0"/>
              <w:adjustRightInd w:val="0"/>
              <w:textAlignment w:val="baseline"/>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Paragrafoelenco"/>
              <w:numPr>
                <w:ilvl w:val="0"/>
                <w:numId w:val="1"/>
              </w:numPr>
              <w:overflowPunct w:val="0"/>
              <w:autoSpaceDE w:val="0"/>
              <w:autoSpaceDN w:val="0"/>
              <w:adjustRightInd w:val="0"/>
              <w:textAlignment w:val="baseline"/>
              <w:rPr>
                <w:rFonts w:ascii="DecimaWE Rg" w:hAnsi="DecimaWE Rg"/>
                <w:sz w:val="19"/>
                <w:szCs w:val="19"/>
              </w:rPr>
            </w:pPr>
            <w:r w:rsidRPr="0061755C">
              <w:rPr>
                <w:rFonts w:ascii="DecimaWE Rg" w:hAnsi="DecimaWE Rg"/>
                <w:sz w:val="19"/>
                <w:szCs w:val="19"/>
              </w:rPr>
              <w:t xml:space="preserve">spese per cancelleria, postali, beni consumabili (nel limite massimo del 10 per cento del contributo) </w:t>
            </w:r>
          </w:p>
          <w:p w:rsidR="004F15E6" w:rsidRDefault="004F15E6" w:rsidP="00311717">
            <w:pPr>
              <w:pStyle w:val="Paragrafoelenco"/>
              <w:rPr>
                <w:rFonts w:ascii="DecimaWE Rg" w:hAnsi="DecimaWE Rg"/>
                <w:i/>
                <w:sz w:val="19"/>
                <w:szCs w:val="19"/>
              </w:rPr>
            </w:pPr>
            <w:r w:rsidRPr="0061755C">
              <w:rPr>
                <w:rFonts w:ascii="DecimaWE Rg" w:hAnsi="DecimaWE Rg"/>
                <w:i/>
                <w:sz w:val="19"/>
                <w:szCs w:val="19"/>
              </w:rPr>
              <w:t>stroški pisarniškega materiala, poštnine, stroški za potrošno blago (do največ 10 % prispevka)</w:t>
            </w:r>
          </w:p>
          <w:p w:rsidR="00DD5160" w:rsidRPr="0061755C" w:rsidRDefault="00DD5160" w:rsidP="00311717">
            <w:pPr>
              <w:pStyle w:val="Paragrafoelenco"/>
              <w:rPr>
                <w:rFonts w:ascii="DecimaWE Rg" w:hAnsi="DecimaWE Rg"/>
                <w:sz w:val="19"/>
                <w:szCs w:val="19"/>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Standard"/>
              <w:widowControl/>
              <w:numPr>
                <w:ilvl w:val="0"/>
                <w:numId w:val="1"/>
              </w:numPr>
              <w:tabs>
                <w:tab w:val="left" w:pos="284"/>
              </w:tabs>
              <w:overflowPunct w:val="0"/>
              <w:autoSpaceDE w:val="0"/>
              <w:adjustRightInd w:val="0"/>
              <w:ind w:right="126"/>
              <w:jc w:val="left"/>
              <w:rPr>
                <w:rFonts w:ascii="DecimaWE Rg" w:hAnsi="DecimaWE Rg"/>
                <w:sz w:val="19"/>
                <w:szCs w:val="19"/>
                <w:lang w:val="it-IT"/>
              </w:rPr>
            </w:pPr>
            <w:r w:rsidRPr="0061755C">
              <w:rPr>
                <w:rFonts w:ascii="DecimaWE Rg" w:hAnsi="DecimaWE Rg" w:cs="Arial"/>
                <w:sz w:val="19"/>
                <w:szCs w:val="19"/>
                <w:lang w:val="it-IT"/>
              </w:rPr>
              <w:t xml:space="preserve">spese generali di funzionamento, in particolare le utenze, e costi generali di gestione </w:t>
            </w:r>
            <w:r w:rsidRPr="0061755C">
              <w:rPr>
                <w:rFonts w:ascii="DecimaWE Rg" w:hAnsi="DecimaWE Rg" w:cs="Arial"/>
                <w:color w:val="000000"/>
                <w:sz w:val="19"/>
                <w:szCs w:val="19"/>
                <w:lang w:val="it-IT"/>
              </w:rPr>
              <w:t xml:space="preserve">riferibili </w:t>
            </w:r>
            <w:r w:rsidRPr="0061755C">
              <w:rPr>
                <w:rFonts w:ascii="DecimaWE Rg" w:hAnsi="DecimaWE Rg" w:cs="Arial"/>
                <w:sz w:val="19"/>
                <w:szCs w:val="19"/>
                <w:lang w:val="it-IT"/>
              </w:rPr>
              <w:t xml:space="preserve">al programma di attività (nella misura massima del 15 per cento del contributo concesso) </w:t>
            </w:r>
          </w:p>
          <w:p w:rsidR="004F15E6" w:rsidRDefault="004F15E6" w:rsidP="00311717">
            <w:pPr>
              <w:pStyle w:val="Standard"/>
              <w:widowControl/>
              <w:tabs>
                <w:tab w:val="left" w:pos="284"/>
              </w:tabs>
              <w:overflowPunct w:val="0"/>
              <w:autoSpaceDE w:val="0"/>
              <w:adjustRightInd w:val="0"/>
              <w:ind w:left="720" w:right="126"/>
              <w:jc w:val="left"/>
              <w:rPr>
                <w:rFonts w:ascii="DecimaWE Rg" w:hAnsi="DecimaWE Rg" w:cs="Arial"/>
                <w:i/>
                <w:sz w:val="19"/>
                <w:szCs w:val="19"/>
              </w:rPr>
            </w:pPr>
            <w:r w:rsidRPr="0061755C">
              <w:rPr>
                <w:rFonts w:ascii="DecimaWE Rg" w:hAnsi="DecimaWE Rg"/>
                <w:i/>
                <w:sz w:val="19"/>
                <w:szCs w:val="19"/>
              </w:rPr>
              <w:lastRenderedPageBreak/>
              <w:t xml:space="preserve">splošni stroški delovanja, </w:t>
            </w:r>
            <w:r w:rsidRPr="0061755C">
              <w:rPr>
                <w:rFonts w:ascii="DecimaWE Rg" w:hAnsi="DecimaWE Rg" w:cs="Arial"/>
                <w:i/>
                <w:sz w:val="19"/>
                <w:szCs w:val="19"/>
              </w:rPr>
              <w:t>še zlasti obratovalni stroški in splošni stroški upravljanja, ki so povezani s programom dejavnosti (do največ 15 % odobrenega prispevka)</w:t>
            </w:r>
          </w:p>
          <w:p w:rsidR="00DD5160" w:rsidRPr="0061755C" w:rsidRDefault="00DD5160" w:rsidP="00311717">
            <w:pPr>
              <w:pStyle w:val="Standard"/>
              <w:widowControl/>
              <w:tabs>
                <w:tab w:val="left" w:pos="284"/>
              </w:tabs>
              <w:overflowPunct w:val="0"/>
              <w:autoSpaceDE w:val="0"/>
              <w:adjustRightInd w:val="0"/>
              <w:ind w:left="720" w:right="126"/>
              <w:jc w:val="left"/>
              <w:rPr>
                <w:rFonts w:ascii="DecimaWE Rg" w:hAnsi="DecimaWE Rg"/>
                <w:sz w:val="19"/>
                <w:szCs w:val="19"/>
                <w:lang w:val="it-IT"/>
              </w:rPr>
            </w:pP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lastRenderedPageBreak/>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c>
          <w:tcPr>
            <w:tcW w:w="7621" w:type="dxa"/>
            <w:shd w:val="clear" w:color="auto" w:fill="auto"/>
            <w:vAlign w:val="center"/>
          </w:tcPr>
          <w:p w:rsidR="004F15E6" w:rsidRPr="0061755C" w:rsidRDefault="004F15E6" w:rsidP="004F15E6">
            <w:pPr>
              <w:pStyle w:val="Standard"/>
              <w:widowControl/>
              <w:numPr>
                <w:ilvl w:val="0"/>
                <w:numId w:val="1"/>
              </w:numPr>
              <w:tabs>
                <w:tab w:val="left" w:pos="284"/>
              </w:tabs>
              <w:overflowPunct w:val="0"/>
              <w:autoSpaceDE w:val="0"/>
              <w:adjustRightInd w:val="0"/>
              <w:ind w:right="126"/>
              <w:jc w:val="left"/>
              <w:rPr>
                <w:rFonts w:ascii="DecimaWE Rg" w:hAnsi="DecimaWE Rg" w:cs="Arial"/>
                <w:sz w:val="19"/>
                <w:szCs w:val="19"/>
                <w:lang w:val="it-IT"/>
              </w:rPr>
            </w:pPr>
            <w:r w:rsidRPr="0061755C">
              <w:rPr>
                <w:rFonts w:ascii="DecimaWE Rg" w:hAnsi="DecimaWE Rg" w:cs="Arial"/>
                <w:sz w:val="19"/>
                <w:szCs w:val="19"/>
                <w:lang w:val="it-IT"/>
              </w:rPr>
              <w:lastRenderedPageBreak/>
              <w:t xml:space="preserve">altre spese (specificare)  </w:t>
            </w:r>
          </w:p>
          <w:p w:rsidR="004F15E6" w:rsidRDefault="004F15E6" w:rsidP="00CD6747">
            <w:pPr>
              <w:pStyle w:val="Standard"/>
              <w:widowControl/>
              <w:tabs>
                <w:tab w:val="left" w:pos="284"/>
              </w:tabs>
              <w:overflowPunct w:val="0"/>
              <w:autoSpaceDE w:val="0"/>
              <w:adjustRightInd w:val="0"/>
              <w:ind w:left="720" w:right="126"/>
              <w:jc w:val="left"/>
              <w:rPr>
                <w:rFonts w:ascii="DecimaWE Rg" w:hAnsi="DecimaWE Rg" w:cs="Arial"/>
                <w:i/>
                <w:sz w:val="19"/>
                <w:szCs w:val="19"/>
                <w:lang w:val="it-IT"/>
              </w:rPr>
            </w:pPr>
            <w:r w:rsidRPr="0061755C">
              <w:rPr>
                <w:rFonts w:ascii="DecimaWE Rg" w:hAnsi="DecimaWE Rg" w:cs="Arial"/>
                <w:i/>
                <w:sz w:val="19"/>
                <w:szCs w:val="19"/>
                <w:lang w:val="it-IT"/>
              </w:rPr>
              <w:t>drugi stroški (</w:t>
            </w:r>
            <w:r w:rsidR="00CD6747">
              <w:rPr>
                <w:rFonts w:ascii="DecimaWE Rg" w:hAnsi="DecimaWE Rg" w:cs="Arial"/>
                <w:i/>
                <w:sz w:val="19"/>
                <w:szCs w:val="19"/>
                <w:lang w:val="it-IT"/>
              </w:rPr>
              <w:t>navedite</w:t>
            </w:r>
            <w:r w:rsidRPr="0061755C">
              <w:rPr>
                <w:rFonts w:ascii="DecimaWE Rg" w:hAnsi="DecimaWE Rg" w:cs="Arial"/>
                <w:i/>
                <w:sz w:val="19"/>
                <w:szCs w:val="19"/>
                <w:lang w:val="it-IT"/>
              </w:rPr>
              <w:t>)</w:t>
            </w:r>
          </w:p>
          <w:p w:rsidR="00E8603F" w:rsidRDefault="00E8603F" w:rsidP="00CD6747">
            <w:pPr>
              <w:pStyle w:val="Standard"/>
              <w:widowControl/>
              <w:tabs>
                <w:tab w:val="left" w:pos="284"/>
              </w:tabs>
              <w:overflowPunct w:val="0"/>
              <w:autoSpaceDE w:val="0"/>
              <w:adjustRightInd w:val="0"/>
              <w:ind w:left="720" w:right="126"/>
              <w:jc w:val="left"/>
              <w:rPr>
                <w:rFonts w:ascii="DecimaWE Rg" w:hAnsi="DecimaWE Rg" w:cs="Arial"/>
                <w:i/>
                <w:sz w:val="19"/>
                <w:szCs w:val="19"/>
                <w:lang w:val="it-IT"/>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p>
          <w:p w:rsidR="00DD5160" w:rsidRDefault="00E8603F" w:rsidP="00CD6747">
            <w:pPr>
              <w:pStyle w:val="Standard"/>
              <w:widowControl/>
              <w:tabs>
                <w:tab w:val="left" w:pos="284"/>
              </w:tabs>
              <w:overflowPunct w:val="0"/>
              <w:autoSpaceDE w:val="0"/>
              <w:adjustRightInd w:val="0"/>
              <w:ind w:left="720" w:right="126"/>
              <w:jc w:val="left"/>
              <w:rPr>
                <w:rFonts w:ascii="DecimaWE Rg" w:hAnsi="DecimaWE Rg" w:cs="Arial"/>
                <w:sz w:val="16"/>
                <w:szCs w:val="16"/>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p>
          <w:p w:rsidR="00E8603F" w:rsidRPr="0061755C" w:rsidRDefault="00E8603F" w:rsidP="00CD6747">
            <w:pPr>
              <w:pStyle w:val="Standard"/>
              <w:widowControl/>
              <w:tabs>
                <w:tab w:val="left" w:pos="284"/>
              </w:tabs>
              <w:overflowPunct w:val="0"/>
              <w:autoSpaceDE w:val="0"/>
              <w:adjustRightInd w:val="0"/>
              <w:ind w:left="720" w:right="126"/>
              <w:jc w:val="left"/>
              <w:rPr>
                <w:rFonts w:ascii="DecimaWE Rg" w:hAnsi="DecimaWE Rg" w:cs="Arial"/>
                <w:sz w:val="19"/>
                <w:szCs w:val="19"/>
                <w:lang w:val="it-IT"/>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p>
        </w:tc>
        <w:tc>
          <w:tcPr>
            <w:tcW w:w="2157" w:type="dxa"/>
            <w:shd w:val="clear" w:color="auto" w:fill="auto"/>
            <w:vAlign w:val="center"/>
          </w:tcPr>
          <w:p w:rsidR="004F15E6" w:rsidRPr="0061755C" w:rsidRDefault="004F15E6" w:rsidP="00311717">
            <w:pPr>
              <w:overflowPunct w:val="0"/>
              <w:autoSpaceDE w:val="0"/>
              <w:autoSpaceDN w:val="0"/>
              <w:adjustRightInd w:val="0"/>
              <w:jc w:val="right"/>
              <w:textAlignment w:val="baseline"/>
              <w:rPr>
                <w:rFonts w:ascii="DecimaWE Rg" w:hAnsi="DecimaWE Rg"/>
                <w:sz w:val="19"/>
                <w:szCs w:val="19"/>
              </w:rPr>
            </w:pPr>
            <w:r w:rsidRPr="007A5153">
              <w:rPr>
                <w:rFonts w:ascii="DecimaWE Rg" w:hAnsi="DecimaWE Rg" w:cs="Arial"/>
                <w:sz w:val="16"/>
                <w:szCs w:val="16"/>
              </w:rPr>
              <w:fldChar w:fldCharType="begin">
                <w:ffData>
                  <w:name w:val="Testo58"/>
                  <w:enabled/>
                  <w:calcOnExit w:val="0"/>
                  <w:textInput/>
                </w:ffData>
              </w:fldChar>
            </w:r>
            <w:r w:rsidRPr="007A5153">
              <w:rPr>
                <w:rFonts w:ascii="DecimaWE Rg" w:hAnsi="DecimaWE Rg" w:cs="Arial"/>
                <w:sz w:val="16"/>
                <w:szCs w:val="16"/>
              </w:rPr>
              <w:instrText xml:space="preserve"> FORMTEXT </w:instrText>
            </w:r>
            <w:r w:rsidRPr="007A5153">
              <w:rPr>
                <w:rFonts w:ascii="DecimaWE Rg" w:hAnsi="DecimaWE Rg" w:cs="Arial"/>
                <w:sz w:val="16"/>
                <w:szCs w:val="16"/>
              </w:rPr>
            </w:r>
            <w:r w:rsidRPr="007A5153">
              <w:rPr>
                <w:rFonts w:ascii="DecimaWE Rg" w:hAnsi="DecimaWE Rg" w:cs="Arial"/>
                <w:sz w:val="16"/>
                <w:szCs w:val="16"/>
              </w:rPr>
              <w:fldChar w:fldCharType="separate"/>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eastAsia="Arial Unicode MS" w:hAnsi="DecimaWE Rg" w:cs="Arial Unicode MS"/>
                <w:noProof/>
                <w:sz w:val="16"/>
                <w:szCs w:val="16"/>
              </w:rPr>
              <w:t> </w:t>
            </w:r>
            <w:r w:rsidRPr="007A5153">
              <w:rPr>
                <w:rFonts w:ascii="DecimaWE Rg" w:hAnsi="DecimaWE Rg" w:cs="Arial"/>
                <w:sz w:val="16"/>
                <w:szCs w:val="16"/>
              </w:rPr>
              <w:fldChar w:fldCharType="end"/>
            </w:r>
            <w:r>
              <w:rPr>
                <w:rFonts w:ascii="DecimaWE Rg" w:hAnsi="DecimaWE Rg" w:cs="Arial"/>
                <w:sz w:val="16"/>
                <w:szCs w:val="16"/>
              </w:rPr>
              <w:t xml:space="preserve"> </w:t>
            </w:r>
            <w:r w:rsidRPr="0061755C">
              <w:rPr>
                <w:rFonts w:ascii="DecimaWE Rg" w:hAnsi="DecimaWE Rg"/>
                <w:sz w:val="19"/>
                <w:szCs w:val="19"/>
              </w:rPr>
              <w:t>€</w:t>
            </w:r>
          </w:p>
        </w:tc>
      </w:tr>
      <w:tr w:rsidR="004F15E6" w:rsidRPr="0061755C" w:rsidTr="00E8603F">
        <w:trPr>
          <w:trHeight w:val="463"/>
        </w:trPr>
        <w:tc>
          <w:tcPr>
            <w:tcW w:w="7621" w:type="dxa"/>
            <w:shd w:val="clear" w:color="auto" w:fill="auto"/>
            <w:vAlign w:val="bottom"/>
          </w:tcPr>
          <w:p w:rsidR="004F15E6" w:rsidRPr="00DD5160" w:rsidRDefault="004F15E6" w:rsidP="00311717">
            <w:pPr>
              <w:pStyle w:val="Standard"/>
              <w:widowControl/>
              <w:tabs>
                <w:tab w:val="left" w:pos="284"/>
              </w:tabs>
              <w:overflowPunct w:val="0"/>
              <w:autoSpaceDE w:val="0"/>
              <w:adjustRightInd w:val="0"/>
              <w:ind w:left="720" w:right="126"/>
              <w:jc w:val="right"/>
              <w:rPr>
                <w:rFonts w:ascii="DecimaWE Rg" w:hAnsi="DecimaWE Rg" w:cs="Arial"/>
                <w:b/>
                <w:lang w:val="it-IT"/>
              </w:rPr>
            </w:pPr>
            <w:r w:rsidRPr="00DD5160">
              <w:rPr>
                <w:rFonts w:ascii="DecimaWE Rg" w:hAnsi="DecimaWE Rg" w:cs="Arial"/>
                <w:b/>
                <w:lang w:val="it-IT"/>
              </w:rPr>
              <w:t xml:space="preserve">Totale / </w:t>
            </w:r>
            <w:r w:rsidRPr="00DD5160">
              <w:rPr>
                <w:rFonts w:ascii="DecimaWE Rg" w:hAnsi="DecimaWE Rg" w:cs="Arial"/>
                <w:b/>
                <w:i/>
                <w:lang w:val="it-IT"/>
              </w:rPr>
              <w:t>Skupaj</w:t>
            </w:r>
          </w:p>
        </w:tc>
        <w:tc>
          <w:tcPr>
            <w:tcW w:w="2157" w:type="dxa"/>
            <w:shd w:val="clear" w:color="auto" w:fill="auto"/>
            <w:vAlign w:val="bottom"/>
          </w:tcPr>
          <w:p w:rsidR="004F15E6" w:rsidRPr="00DD5160" w:rsidRDefault="004F15E6" w:rsidP="00311717">
            <w:pPr>
              <w:overflowPunct w:val="0"/>
              <w:autoSpaceDE w:val="0"/>
              <w:autoSpaceDN w:val="0"/>
              <w:adjustRightInd w:val="0"/>
              <w:jc w:val="right"/>
              <w:textAlignment w:val="baseline"/>
              <w:rPr>
                <w:rFonts w:ascii="DecimaWE Rg" w:hAnsi="DecimaWE Rg"/>
                <w:b/>
              </w:rPr>
            </w:pPr>
            <w:r w:rsidRPr="00DD5160">
              <w:rPr>
                <w:rFonts w:ascii="DecimaWE Rg" w:hAnsi="DecimaWE Rg" w:cs="Arial"/>
              </w:rPr>
              <w:fldChar w:fldCharType="begin">
                <w:ffData>
                  <w:name w:val="Testo58"/>
                  <w:enabled/>
                  <w:calcOnExit w:val="0"/>
                  <w:textInput/>
                </w:ffData>
              </w:fldChar>
            </w:r>
            <w:r w:rsidRPr="00DD5160">
              <w:rPr>
                <w:rFonts w:ascii="DecimaWE Rg" w:hAnsi="DecimaWE Rg" w:cs="Arial"/>
              </w:rPr>
              <w:instrText xml:space="preserve"> FORMTEXT </w:instrText>
            </w:r>
            <w:r w:rsidRPr="00DD5160">
              <w:rPr>
                <w:rFonts w:ascii="DecimaWE Rg" w:hAnsi="DecimaWE Rg" w:cs="Arial"/>
              </w:rPr>
            </w:r>
            <w:r w:rsidRPr="00DD5160">
              <w:rPr>
                <w:rFonts w:ascii="DecimaWE Rg" w:hAnsi="DecimaWE Rg" w:cs="Arial"/>
              </w:rPr>
              <w:fldChar w:fldCharType="separate"/>
            </w:r>
            <w:r w:rsidRPr="00DD5160">
              <w:rPr>
                <w:rFonts w:ascii="DecimaWE Rg" w:eastAsia="Arial Unicode MS" w:hAnsi="DecimaWE Rg" w:cs="Arial Unicode MS"/>
                <w:noProof/>
              </w:rPr>
              <w:t> </w:t>
            </w:r>
            <w:r w:rsidRPr="00DD5160">
              <w:rPr>
                <w:rFonts w:ascii="DecimaWE Rg" w:eastAsia="Arial Unicode MS" w:hAnsi="DecimaWE Rg" w:cs="Arial Unicode MS"/>
                <w:noProof/>
              </w:rPr>
              <w:t> </w:t>
            </w:r>
            <w:r w:rsidRPr="00DD5160">
              <w:rPr>
                <w:rFonts w:ascii="DecimaWE Rg" w:eastAsia="Arial Unicode MS" w:hAnsi="DecimaWE Rg" w:cs="Arial Unicode MS"/>
                <w:noProof/>
              </w:rPr>
              <w:t> </w:t>
            </w:r>
            <w:r w:rsidRPr="00DD5160">
              <w:rPr>
                <w:rFonts w:ascii="DecimaWE Rg" w:eastAsia="Arial Unicode MS" w:hAnsi="DecimaWE Rg" w:cs="Arial Unicode MS"/>
                <w:noProof/>
              </w:rPr>
              <w:t> </w:t>
            </w:r>
            <w:r w:rsidRPr="00DD5160">
              <w:rPr>
                <w:rFonts w:ascii="DecimaWE Rg" w:eastAsia="Arial Unicode MS" w:hAnsi="DecimaWE Rg" w:cs="Arial Unicode MS"/>
                <w:noProof/>
              </w:rPr>
              <w:t> </w:t>
            </w:r>
            <w:r w:rsidRPr="00DD5160">
              <w:rPr>
                <w:rFonts w:ascii="DecimaWE Rg" w:hAnsi="DecimaWE Rg" w:cs="Arial"/>
              </w:rPr>
              <w:fldChar w:fldCharType="end"/>
            </w:r>
            <w:r w:rsidRPr="00DD5160">
              <w:rPr>
                <w:rFonts w:ascii="DecimaWE Rg" w:hAnsi="DecimaWE Rg" w:cs="Arial"/>
              </w:rPr>
              <w:t xml:space="preserve"> </w:t>
            </w:r>
            <w:r w:rsidRPr="00DD5160">
              <w:rPr>
                <w:rFonts w:ascii="DecimaWE Rg" w:hAnsi="DecimaWE Rg"/>
                <w:b/>
              </w:rPr>
              <w:t>€</w:t>
            </w:r>
          </w:p>
        </w:tc>
      </w:tr>
    </w:tbl>
    <w:p w:rsidR="004F15E6" w:rsidRPr="007A5153" w:rsidRDefault="004F15E6" w:rsidP="004F15E6">
      <w:pPr>
        <w:rPr>
          <w:rFonts w:ascii="DecimaWE Rg" w:hAnsi="DecimaWE Rg"/>
        </w:rPr>
      </w:pPr>
    </w:p>
    <w:p w:rsidR="004F15E6" w:rsidRPr="007A5153" w:rsidRDefault="004F15E6" w:rsidP="004F15E6">
      <w:pPr>
        <w:rPr>
          <w:rFonts w:ascii="DecimaWE Rg" w:hAnsi="DecimaWE Rg"/>
          <w:sz w:val="22"/>
          <w:szCs w:val="22"/>
        </w:rPr>
      </w:pPr>
    </w:p>
    <w:p w:rsidR="00EF1F2C" w:rsidRDefault="002717D0" w:rsidP="004F15E6"/>
    <w:sectPr w:rsidR="00EF1F2C" w:rsidSect="00DA0EAD">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D0" w:rsidRDefault="002717D0" w:rsidP="004F15E6">
      <w:r>
        <w:separator/>
      </w:r>
    </w:p>
  </w:endnote>
  <w:endnote w:type="continuationSeparator" w:id="0">
    <w:p w:rsidR="002717D0" w:rsidRDefault="002717D0" w:rsidP="004F15E6">
      <w:r>
        <w:continuationSeparator/>
      </w:r>
    </w:p>
  </w:endnote>
  <w:endnote w:id="1">
    <w:p w:rsidR="00CB662D" w:rsidRPr="00CB662D" w:rsidRDefault="00CB662D" w:rsidP="00CB662D">
      <w:pPr>
        <w:pStyle w:val="Standard"/>
        <w:spacing w:before="180" w:after="180"/>
        <w:ind w:left="0"/>
        <w:rPr>
          <w:rFonts w:ascii="DecimaWE Rg" w:hAnsi="DecimaWE Rg" w:cs="Arial"/>
          <w:i/>
          <w:sz w:val="16"/>
          <w:szCs w:val="16"/>
          <w:lang w:val="it-IT"/>
        </w:rPr>
      </w:pPr>
      <w:r w:rsidRPr="00CB662D">
        <w:rPr>
          <w:rStyle w:val="Rimandonotadichiusura"/>
          <w:lang w:val="it-IT"/>
        </w:rPr>
        <w:endnoteRef/>
      </w:r>
      <w:r w:rsidRPr="00CB662D">
        <w:rPr>
          <w:lang w:val="it-IT"/>
        </w:rPr>
        <w:t xml:space="preserve"> </w:t>
      </w:r>
      <w:r w:rsidRPr="00CB662D">
        <w:rPr>
          <w:rFonts w:ascii="DecimaWE Rg" w:hAnsi="DecimaWE Rg"/>
          <w:sz w:val="16"/>
          <w:szCs w:val="16"/>
          <w:lang w:val="it-IT"/>
        </w:rPr>
        <w:t>NB. Secondo quanto previsto dall'art. 23, c.1, del Regolamento, l</w:t>
      </w:r>
      <w:r w:rsidRPr="00CB662D">
        <w:rPr>
          <w:rFonts w:ascii="DecimaWE Rg" w:hAnsi="DecimaWE Rg" w:cs="Arial"/>
          <w:i/>
          <w:sz w:val="16"/>
          <w:szCs w:val="16"/>
          <w:lang w:val="it-IT"/>
        </w:rPr>
        <w:t xml:space="preserve">’importo del finanziamento concesso non può superare quanto necessario per coprire le perdite d’esercizio e un utile ragionevole </w:t>
      </w:r>
      <w:r w:rsidRPr="00CB662D">
        <w:rPr>
          <w:rFonts w:ascii="DecimaWE Rg" w:hAnsi="DecimaWE Rg" w:cs="Arial"/>
          <w:sz w:val="16"/>
          <w:szCs w:val="16"/>
          <w:lang w:val="it-IT"/>
        </w:rPr>
        <w:t xml:space="preserve">di cui al Regolamento (UE) della Commissione del 17 giugno 2014, n. 651/2014. Ai sensi dell’art. 23 del Regolamento, </w:t>
      </w:r>
      <w:r w:rsidRPr="00CB662D">
        <w:rPr>
          <w:rFonts w:ascii="DecimaWE Rg" w:hAnsi="DecimaWE Rg" w:cs="Arial"/>
          <w:i/>
          <w:sz w:val="16"/>
          <w:szCs w:val="16"/>
          <w:lang w:val="it-IT"/>
        </w:rPr>
        <w:t>si intende per utile ragionevole tipicamente ottenuto dai beneficiari nel settore interessato dal presente Regolamento, quello ottenuto applicando all’ammontare dei costi generati dalla attività programmata o dalla singola iniziativa progettuale oggetto di contributo il tasso EURIRS (Euro Interest Rate Swap – Tasso per gli Swap su interessi) a 10 anni, così come calcolato dalla Federazione Bancaria Europea nel giorno dell’approvazione del rendiconto dell’incentivo, maggiorato dell’1 per cento. Il tasso di riferimento per il calcolo dell’utile ragionevole</w:t>
      </w:r>
      <w:r w:rsidR="00C3150A">
        <w:rPr>
          <w:rFonts w:ascii="DecimaWE Rg" w:hAnsi="DecimaWE Rg" w:cs="Arial"/>
          <w:i/>
          <w:sz w:val="16"/>
          <w:szCs w:val="16"/>
          <w:lang w:val="it-IT"/>
        </w:rPr>
        <w:t xml:space="preserve"> </w:t>
      </w:r>
      <w:r w:rsidRPr="00CB662D">
        <w:rPr>
          <w:rFonts w:ascii="DecimaWE Rg" w:hAnsi="DecimaWE Rg" w:cs="Arial"/>
          <w:i/>
          <w:sz w:val="16"/>
          <w:szCs w:val="16"/>
          <w:lang w:val="it-IT"/>
        </w:rPr>
        <w:t>può essere adeguato annualmente con decreto del Direttore centrale competente in materia di cultura da pubblicare sul Bollettino Ufficiale della Regione. Se i finanziamenti eccedono l’utile ragionevole il contributo è rideterminato applicando allo stesso una riduzione pari all’importo eccedente. Se l’utile o l’avanzo comportano la restituzione di una somma di denaro gli interessi sono dovuti solo successivamente allo scadere del termine fissato nella richiesta di restituzione.</w:t>
      </w:r>
    </w:p>
    <w:p w:rsidR="00CB662D" w:rsidRPr="00CB662D" w:rsidRDefault="00CB662D">
      <w:pPr>
        <w:pStyle w:val="Testonotadichiusura"/>
        <w:rPr>
          <w:lang w:val="sl-SI"/>
        </w:rPr>
      </w:pPr>
    </w:p>
  </w:endnote>
  <w:endnote w:id="2">
    <w:p w:rsidR="00CB662D" w:rsidRPr="00CB662D" w:rsidRDefault="00CB662D" w:rsidP="009F0EBE">
      <w:pPr>
        <w:pStyle w:val="Testonotadichiusura"/>
        <w:jc w:val="both"/>
        <w:rPr>
          <w:lang w:val="sl-SI"/>
        </w:rPr>
      </w:pPr>
      <w:r>
        <w:rPr>
          <w:rStyle w:val="Rimandonotadichiusura"/>
        </w:rPr>
        <w:endnoteRef/>
      </w:r>
      <w:r w:rsidRPr="00CB662D">
        <w:rPr>
          <w:lang w:val="sl-SI"/>
        </w:rPr>
        <w:t xml:space="preserve"> </w:t>
      </w:r>
      <w:r w:rsidRPr="00050F23">
        <w:rPr>
          <w:rFonts w:ascii="DecimaWE Rg" w:eastAsia="SimSun" w:hAnsi="DecimaWE Rg" w:cs="Mangal"/>
          <w:kern w:val="3"/>
          <w:sz w:val="16"/>
          <w:szCs w:val="16"/>
          <w:lang w:val="sl-SI" w:eastAsia="zh-CN" w:bidi="hi-IN"/>
        </w:rPr>
        <w:t xml:space="preserve">Skladno z določili prvega odstavka 23. člena Pravilnika </w:t>
      </w:r>
      <w:r w:rsidRPr="00050F23">
        <w:rPr>
          <w:rFonts w:ascii="DecimaWE Rg" w:eastAsia="SimSun" w:hAnsi="DecimaWE Rg" w:cs="Mangal"/>
          <w:i/>
          <w:kern w:val="3"/>
          <w:sz w:val="16"/>
          <w:szCs w:val="16"/>
          <w:lang w:val="sl-SI" w:eastAsia="zh-CN" w:bidi="hi-IN"/>
        </w:rPr>
        <w:t xml:space="preserve">ne sme prispevek preseči zneska, potrebnega za kritje izgub poslovnega leta in pridobitev razumnega dobička, </w:t>
      </w:r>
      <w:r w:rsidRPr="00FC4415">
        <w:rPr>
          <w:rFonts w:ascii="DecimaWE Rg" w:eastAsia="SimSun" w:hAnsi="DecimaWE Rg" w:cs="Mangal"/>
          <w:kern w:val="3"/>
          <w:sz w:val="16"/>
          <w:szCs w:val="16"/>
          <w:lang w:val="sl-SI" w:eastAsia="zh-CN" w:bidi="hi-IN"/>
        </w:rPr>
        <w:t>kot ga opredeljuje Uredba Komisije (EU) št. 651/2014 z dne 17. junija 2014</w:t>
      </w:r>
      <w:r w:rsidRPr="00050F23">
        <w:rPr>
          <w:rFonts w:ascii="DecimaWE Rg" w:eastAsia="SimSun" w:hAnsi="DecimaWE Rg" w:cs="Mangal"/>
          <w:i/>
          <w:kern w:val="3"/>
          <w:sz w:val="16"/>
          <w:szCs w:val="16"/>
          <w:lang w:val="sl-SI" w:eastAsia="zh-CN" w:bidi="hi-IN"/>
        </w:rPr>
        <w:t>.</w:t>
      </w:r>
      <w:r w:rsidRPr="00050F23">
        <w:rPr>
          <w:rFonts w:ascii="DecimaWE Rg" w:eastAsia="SimSun" w:hAnsi="DecimaWE Rg" w:cs="Mangal"/>
          <w:kern w:val="3"/>
          <w:sz w:val="16"/>
          <w:szCs w:val="16"/>
          <w:lang w:val="sl-SI" w:eastAsia="zh-CN" w:bidi="hi-IN"/>
        </w:rPr>
        <w:t xml:space="preserve"> Skladno s 23. členom</w:t>
      </w:r>
      <w:r w:rsidRPr="000A0547">
        <w:rPr>
          <w:rFonts w:ascii="DecimaWE Rg" w:eastAsia="SimSun" w:hAnsi="DecimaWE Rg" w:cs="Mangal"/>
          <w:i/>
          <w:kern w:val="3"/>
          <w:sz w:val="16"/>
          <w:szCs w:val="16"/>
          <w:lang w:val="sl-SI" w:eastAsia="zh-CN" w:bidi="hi-IN"/>
        </w:rPr>
        <w:t xml:space="preserve"> </w:t>
      </w:r>
      <w:r w:rsidRPr="00050F23">
        <w:rPr>
          <w:rFonts w:ascii="DecimaWE Rg" w:eastAsia="SimSun" w:hAnsi="DecimaWE Rg" w:cs="Mangal"/>
          <w:kern w:val="3"/>
          <w:sz w:val="16"/>
          <w:szCs w:val="16"/>
          <w:lang w:val="sl-SI" w:eastAsia="zh-CN" w:bidi="hi-IN"/>
        </w:rPr>
        <w:t>Pravilnika</w:t>
      </w:r>
      <w:r w:rsidRPr="000A0547">
        <w:rPr>
          <w:rFonts w:ascii="DecimaWE Rg" w:eastAsia="SimSun" w:hAnsi="DecimaWE Rg" w:cs="Mangal"/>
          <w:i/>
          <w:kern w:val="3"/>
          <w:sz w:val="16"/>
          <w:szCs w:val="16"/>
          <w:lang w:val="sl-SI" w:eastAsia="zh-CN" w:bidi="hi-IN"/>
        </w:rPr>
        <w:t xml:space="preserve"> se kot običajen razumen dobiček prejemnikov prispevkov s področij, ki jih ureja ta pravilnik, šteje desetletna menjalna obrestna mera EURIRS (Euro Interest Rate Swap) za stroške, nastale z načrtovano dejavnostjo ali posameznimi financiranimi projektnimi pobudami. Upošteva se obrestna mera EURIRS, ki jo Evropska bančna federacija izračuna na dan odobritve obračuna prispevka, z enoodstotnim pribitkom. Referenčna obrestna mera za izračun razumnega dobička se lahko vsako leto prilagodi z odlokom centralnega direktorja za kulturo. Odlok se objavi v Deželnem uradnem listu. Če se izkaže, da prispevek presega razumen dobiček, se višina prispevka vnovič določi, in sicer tako, da se presežni znesek odšteje od prispevka. Če je treba zaradi dobička ali izgube določeni znesek vrniti, se obresti nanj zaračunavajo zgolj po izteku roka, določenega v zahtevku za vračilo.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D0" w:rsidRDefault="002717D0" w:rsidP="004F15E6">
      <w:r>
        <w:separator/>
      </w:r>
    </w:p>
  </w:footnote>
  <w:footnote w:type="continuationSeparator" w:id="0">
    <w:p w:rsidR="002717D0" w:rsidRDefault="002717D0" w:rsidP="004F1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3618"/>
    <w:multiLevelType w:val="hybridMultilevel"/>
    <w:tmpl w:val="2B3AC0F0"/>
    <w:lvl w:ilvl="0" w:tplc="99A843FA">
      <w:start w:val="1"/>
      <w:numFmt w:val="low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DQogneE4mVDARc+Dujg1QMUhs8k=" w:salt="sWpMxNs8Z9vAtfbk2DxaQ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E6"/>
    <w:rsid w:val="000106AA"/>
    <w:rsid w:val="00050C70"/>
    <w:rsid w:val="0008575F"/>
    <w:rsid w:val="00093ADE"/>
    <w:rsid w:val="000A6831"/>
    <w:rsid w:val="001E21B6"/>
    <w:rsid w:val="002055C4"/>
    <w:rsid w:val="002717D0"/>
    <w:rsid w:val="002F12F3"/>
    <w:rsid w:val="003678E4"/>
    <w:rsid w:val="003C3C0F"/>
    <w:rsid w:val="003D608F"/>
    <w:rsid w:val="004F15E6"/>
    <w:rsid w:val="00561D38"/>
    <w:rsid w:val="00662608"/>
    <w:rsid w:val="007234EA"/>
    <w:rsid w:val="00747C96"/>
    <w:rsid w:val="00792A7A"/>
    <w:rsid w:val="008E6717"/>
    <w:rsid w:val="00902760"/>
    <w:rsid w:val="00977B3F"/>
    <w:rsid w:val="009D3D61"/>
    <w:rsid w:val="009F0EBE"/>
    <w:rsid w:val="00AA7C03"/>
    <w:rsid w:val="00C3150A"/>
    <w:rsid w:val="00C90689"/>
    <w:rsid w:val="00CB662D"/>
    <w:rsid w:val="00CD6747"/>
    <w:rsid w:val="00D609B0"/>
    <w:rsid w:val="00DA0EAD"/>
    <w:rsid w:val="00DB5DD0"/>
    <w:rsid w:val="00DD5160"/>
    <w:rsid w:val="00DF174A"/>
    <w:rsid w:val="00E8603F"/>
    <w:rsid w:val="00EB34F1"/>
    <w:rsid w:val="00F256E4"/>
    <w:rsid w:val="00F36B07"/>
    <w:rsid w:val="00F4459A"/>
    <w:rsid w:val="00FA568C"/>
    <w:rsid w:val="00FD6A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5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4F15E6"/>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4F15E6"/>
    <w:rPr>
      <w:rFonts w:ascii="Tahoma" w:eastAsia="Times New Roman" w:hAnsi="Tahoma" w:cs="Times New Roman"/>
      <w:sz w:val="20"/>
      <w:szCs w:val="20"/>
      <w:lang w:eastAsia="it-IT"/>
    </w:rPr>
  </w:style>
  <w:style w:type="character" w:styleId="Rimandonotaapidipagina">
    <w:name w:val="footnote reference"/>
    <w:uiPriority w:val="99"/>
    <w:semiHidden/>
    <w:rsid w:val="004F15E6"/>
    <w:rPr>
      <w:vertAlign w:val="superscript"/>
    </w:rPr>
  </w:style>
  <w:style w:type="paragraph" w:styleId="Paragrafoelenco">
    <w:name w:val="List Paragraph"/>
    <w:basedOn w:val="Normale"/>
    <w:uiPriority w:val="34"/>
    <w:qFormat/>
    <w:rsid w:val="004F15E6"/>
    <w:pPr>
      <w:ind w:left="720"/>
      <w:contextualSpacing/>
    </w:pPr>
  </w:style>
  <w:style w:type="paragraph" w:customStyle="1" w:styleId="Standard">
    <w:name w:val="Standard"/>
    <w:rsid w:val="004F15E6"/>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table" w:styleId="Grigliatabella">
    <w:name w:val="Table Grid"/>
    <w:basedOn w:val="Tabellanormale"/>
    <w:uiPriority w:val="59"/>
    <w:rsid w:val="0020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CB662D"/>
    <w:rPr>
      <w:sz w:val="20"/>
      <w:szCs w:val="20"/>
    </w:rPr>
  </w:style>
  <w:style w:type="character" w:customStyle="1" w:styleId="TestonotadichiusuraCarattere">
    <w:name w:val="Testo nota di chiusura Carattere"/>
    <w:basedOn w:val="Carpredefinitoparagrafo"/>
    <w:link w:val="Testonotadichiusura"/>
    <w:uiPriority w:val="99"/>
    <w:semiHidden/>
    <w:rsid w:val="00CB662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B66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15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4F15E6"/>
    <w:pPr>
      <w:overflowPunct w:val="0"/>
      <w:autoSpaceDE w:val="0"/>
      <w:autoSpaceDN w:val="0"/>
      <w:adjustRightInd w:val="0"/>
      <w:textAlignment w:val="baseline"/>
    </w:pPr>
    <w:rPr>
      <w:rFonts w:ascii="Tahoma"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4F15E6"/>
    <w:rPr>
      <w:rFonts w:ascii="Tahoma" w:eastAsia="Times New Roman" w:hAnsi="Tahoma" w:cs="Times New Roman"/>
      <w:sz w:val="20"/>
      <w:szCs w:val="20"/>
      <w:lang w:eastAsia="it-IT"/>
    </w:rPr>
  </w:style>
  <w:style w:type="character" w:styleId="Rimandonotaapidipagina">
    <w:name w:val="footnote reference"/>
    <w:uiPriority w:val="99"/>
    <w:semiHidden/>
    <w:rsid w:val="004F15E6"/>
    <w:rPr>
      <w:vertAlign w:val="superscript"/>
    </w:rPr>
  </w:style>
  <w:style w:type="paragraph" w:styleId="Paragrafoelenco">
    <w:name w:val="List Paragraph"/>
    <w:basedOn w:val="Normale"/>
    <w:uiPriority w:val="34"/>
    <w:qFormat/>
    <w:rsid w:val="004F15E6"/>
    <w:pPr>
      <w:ind w:left="720"/>
      <w:contextualSpacing/>
    </w:pPr>
  </w:style>
  <w:style w:type="paragraph" w:customStyle="1" w:styleId="Standard">
    <w:name w:val="Standard"/>
    <w:rsid w:val="004F15E6"/>
    <w:pPr>
      <w:widowControl w:val="0"/>
      <w:suppressAutoHyphens/>
      <w:autoSpaceDN w:val="0"/>
      <w:spacing w:after="0" w:line="240" w:lineRule="auto"/>
      <w:ind w:left="1440"/>
      <w:jc w:val="both"/>
      <w:textAlignment w:val="baseline"/>
    </w:pPr>
    <w:rPr>
      <w:rFonts w:ascii="Times New Roman" w:eastAsia="SimSun" w:hAnsi="Times New Roman" w:cs="Mangal"/>
      <w:kern w:val="3"/>
      <w:sz w:val="24"/>
      <w:szCs w:val="24"/>
      <w:lang w:val="sl-SI" w:eastAsia="zh-CN" w:bidi="hi-IN"/>
    </w:rPr>
  </w:style>
  <w:style w:type="table" w:styleId="Grigliatabella">
    <w:name w:val="Table Grid"/>
    <w:basedOn w:val="Tabellanormale"/>
    <w:uiPriority w:val="59"/>
    <w:rsid w:val="0020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CB662D"/>
    <w:rPr>
      <w:sz w:val="20"/>
      <w:szCs w:val="20"/>
    </w:rPr>
  </w:style>
  <w:style w:type="character" w:customStyle="1" w:styleId="TestonotadichiusuraCarattere">
    <w:name w:val="Testo nota di chiusura Carattere"/>
    <w:basedOn w:val="Carpredefinitoparagrafo"/>
    <w:link w:val="Testonotadichiusura"/>
    <w:uiPriority w:val="99"/>
    <w:semiHidden/>
    <w:rsid w:val="00CB662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CB6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6E87-1397-48B5-BD03-3FDCFC41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632</Words>
  <Characters>3603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Velise Aleksandra</dc:creator>
  <cp:lastModifiedBy>Velise Aleksandra</cp:lastModifiedBy>
  <cp:revision>20</cp:revision>
  <cp:lastPrinted>2015-11-27T13:53:00Z</cp:lastPrinted>
  <dcterms:created xsi:type="dcterms:W3CDTF">2015-11-23T11:06:00Z</dcterms:created>
  <dcterms:modified xsi:type="dcterms:W3CDTF">2015-12-09T09:57:00Z</dcterms:modified>
</cp:coreProperties>
</file>