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E0" w:rsidRDefault="002E16E0" w:rsidP="002E16E0">
      <w:pPr>
        <w:pStyle w:val="Titolo3"/>
        <w:jc w:val="center"/>
        <w:rPr>
          <w:rFonts w:ascii="DecimaWE Rg" w:hAnsi="DecimaWE Rg"/>
        </w:rPr>
      </w:pPr>
      <w:bookmarkStart w:id="0" w:name="_Toc375578716"/>
      <w:r>
        <w:rPr>
          <w:rFonts w:ascii="DecimaWE Rg" w:hAnsi="DecimaWE Rg"/>
        </w:rPr>
        <w:t>BILANCIO DI PREVISIONE 2015</w:t>
      </w:r>
      <w:r w:rsidR="00AF281E">
        <w:rPr>
          <w:rFonts w:ascii="DecimaWE Rg" w:hAnsi="DecimaWE Rg"/>
        </w:rPr>
        <w:t>-2017</w:t>
      </w:r>
    </w:p>
    <w:p w:rsidR="00F05D5E" w:rsidRPr="00231E0F" w:rsidRDefault="00F05D5E" w:rsidP="00F05D5E">
      <w:pPr>
        <w:pStyle w:val="Titolo3"/>
        <w:jc w:val="both"/>
        <w:rPr>
          <w:rFonts w:ascii="DecimaWE Rg" w:hAnsi="DecimaWE Rg"/>
        </w:rPr>
      </w:pPr>
      <w:bookmarkStart w:id="1" w:name="_GoBack"/>
      <w:bookmarkEnd w:id="1"/>
      <w:r>
        <w:rPr>
          <w:rFonts w:ascii="DecimaWE Rg" w:hAnsi="DecimaWE Rg"/>
        </w:rPr>
        <w:t xml:space="preserve">Il protocollo di intesa tra lo Stato e la Regione del 23 ottobre 2014 </w:t>
      </w:r>
    </w:p>
    <w:p w:rsidR="00F05D5E" w:rsidRDefault="00F05D5E" w:rsidP="00F05D5E">
      <w:pPr>
        <w:spacing w:before="120"/>
        <w:jc w:val="both"/>
        <w:rPr>
          <w:rFonts w:ascii="DecimaWE Rg" w:eastAsia="Calibri" w:hAnsi="DecimaWE Rg"/>
          <w:sz w:val="23"/>
          <w:szCs w:val="23"/>
          <w:lang w:eastAsia="en-US"/>
        </w:rPr>
      </w:pPr>
      <w:r w:rsidRPr="00231E0F">
        <w:rPr>
          <w:rFonts w:ascii="DecimaWE Rg" w:eastAsia="Calibri" w:hAnsi="DecimaWE Rg"/>
          <w:sz w:val="23"/>
          <w:szCs w:val="23"/>
          <w:lang w:eastAsia="en-US"/>
        </w:rPr>
        <w:t>Come è noto il rapporto tra lo Stato e la Regione autonoma Friuli Venezia Giulia in materia finanziaria è divenuto, negli ultimi anni, particolarmente complesso: il rapido succedersi di misure di coordinamento della finanza pubblica, sempre più incisive e unilateralmente disposte, ha spinto la Regione a promuovere ricorsi avanti alla Corte costituzionale in funzione difensiva della proprie prerogative statutarie.</w:t>
      </w:r>
    </w:p>
    <w:p w:rsidR="00F05D5E" w:rsidRPr="00231E0F" w:rsidRDefault="00F05D5E" w:rsidP="00F05D5E">
      <w:pPr>
        <w:spacing w:before="120"/>
        <w:jc w:val="both"/>
        <w:rPr>
          <w:rFonts w:ascii="DecimaWE Rg" w:eastAsia="Calibri" w:hAnsi="DecimaWE Rg"/>
          <w:sz w:val="23"/>
          <w:szCs w:val="23"/>
          <w:lang w:eastAsia="en-US"/>
        </w:rPr>
      </w:pPr>
      <w:r>
        <w:rPr>
          <w:rFonts w:ascii="DecimaWE Rg" w:eastAsia="Calibri" w:hAnsi="DecimaWE Rg"/>
          <w:sz w:val="23"/>
          <w:szCs w:val="23"/>
          <w:lang w:eastAsia="en-US"/>
        </w:rPr>
        <w:t>Nel tempo si</w:t>
      </w:r>
      <w:r w:rsidRPr="00231E0F">
        <w:rPr>
          <w:rFonts w:ascii="DecimaWE Rg" w:eastAsia="Calibri" w:hAnsi="DecimaWE Rg"/>
          <w:sz w:val="23"/>
          <w:szCs w:val="23"/>
          <w:lang w:eastAsia="en-US"/>
        </w:rPr>
        <w:t xml:space="preserve"> è acuita l’esigenza dell’Amministrazione di confrontarsi con lo Stato per individuare, nel rispetto del principio dell’accordo, in che modo le ragioni dell’autonomia regionale possano coordinarsi </w:t>
      </w:r>
      <w:r w:rsidRPr="00063429">
        <w:rPr>
          <w:rFonts w:ascii="DecimaWE Rg" w:eastAsia="Calibri" w:hAnsi="DecimaWE Rg"/>
          <w:sz w:val="23"/>
          <w:szCs w:val="23"/>
          <w:lang w:eastAsia="en-US"/>
        </w:rPr>
        <w:t>con il</w:t>
      </w:r>
      <w:r w:rsidRPr="00231E0F">
        <w:rPr>
          <w:rFonts w:ascii="DecimaWE Rg" w:eastAsia="Calibri" w:hAnsi="DecimaWE Rg"/>
          <w:sz w:val="23"/>
          <w:szCs w:val="23"/>
          <w:lang w:eastAsia="en-US"/>
        </w:rPr>
        <w:t xml:space="preserve"> principio di solidarietà nazionale e con i vincoli as</w:t>
      </w:r>
      <w:r>
        <w:rPr>
          <w:rFonts w:ascii="DecimaWE Rg" w:eastAsia="Calibri" w:hAnsi="DecimaWE Rg"/>
          <w:sz w:val="23"/>
          <w:szCs w:val="23"/>
          <w:lang w:eastAsia="en-US"/>
        </w:rPr>
        <w:t>sunti con i trattati comunitari, anche al fine di superare le incertezze del contenzioso in corso.</w:t>
      </w:r>
    </w:p>
    <w:p w:rsidR="00F05D5E" w:rsidRPr="00231E0F" w:rsidRDefault="00F05D5E" w:rsidP="00F05D5E">
      <w:pPr>
        <w:spacing w:before="120"/>
        <w:jc w:val="both"/>
        <w:rPr>
          <w:rFonts w:ascii="DecimaWE Rg" w:eastAsia="Calibri" w:hAnsi="DecimaWE Rg"/>
          <w:sz w:val="23"/>
          <w:szCs w:val="23"/>
          <w:lang w:eastAsia="en-US"/>
        </w:rPr>
      </w:pPr>
      <w:r>
        <w:rPr>
          <w:rFonts w:ascii="DecimaWE Rg" w:eastAsia="Calibri" w:hAnsi="DecimaWE Rg"/>
          <w:sz w:val="23"/>
          <w:szCs w:val="23"/>
          <w:lang w:eastAsia="en-US"/>
        </w:rPr>
        <w:t>In questa direzione si è mossa l’Amministrazione regionale che, nell’esercizio 2014, ha sottoscritto un protocollo di intesa diretto, oltre che ad alleggerire i vincoli finanziari a carico della specialità,</w:t>
      </w:r>
      <w:r w:rsidRPr="00231E0F">
        <w:rPr>
          <w:rFonts w:ascii="DecimaWE Rg" w:eastAsia="Calibri" w:hAnsi="DecimaWE Rg"/>
          <w:sz w:val="23"/>
          <w:szCs w:val="23"/>
          <w:lang w:eastAsia="en-US"/>
        </w:rPr>
        <w:t xml:space="preserve"> alla semplificazione dei rapporti, alla definizione delle controversie, alla riduzione della complessità degli istituti che gravano sulla gestione finanziaria dell’ente.</w:t>
      </w:r>
    </w:p>
    <w:p w:rsidR="00F05D5E" w:rsidRDefault="00F05D5E" w:rsidP="00F05D5E">
      <w:pPr>
        <w:spacing w:before="120"/>
        <w:jc w:val="both"/>
        <w:rPr>
          <w:rFonts w:ascii="DecimaWE Rg" w:eastAsia="Calibri" w:hAnsi="DecimaWE Rg"/>
          <w:sz w:val="23"/>
          <w:szCs w:val="23"/>
          <w:lang w:eastAsia="en-US"/>
        </w:rPr>
      </w:pPr>
      <w:r w:rsidRPr="00231E0F">
        <w:rPr>
          <w:rFonts w:ascii="DecimaWE Rg" w:eastAsia="Calibri" w:hAnsi="DecimaWE Rg"/>
          <w:sz w:val="23"/>
          <w:szCs w:val="23"/>
          <w:lang w:eastAsia="en-US"/>
        </w:rPr>
        <w:t>L</w:t>
      </w:r>
      <w:r>
        <w:rPr>
          <w:rFonts w:ascii="DecimaWE Rg" w:eastAsia="Calibri" w:hAnsi="DecimaWE Rg"/>
          <w:sz w:val="23"/>
          <w:szCs w:val="23"/>
          <w:lang w:eastAsia="en-US"/>
        </w:rPr>
        <w:t>’intesa, siglata il 23 ottobre 2014, può essere sintetizzata nei seguenti punti:</w:t>
      </w:r>
    </w:p>
    <w:p w:rsidR="00F05D5E" w:rsidRPr="001906F5" w:rsidRDefault="00F05D5E" w:rsidP="00F05D5E">
      <w:pPr>
        <w:numPr>
          <w:ilvl w:val="0"/>
          <w:numId w:val="9"/>
        </w:numPr>
        <w:spacing w:before="120" w:after="200"/>
        <w:contextualSpacing/>
        <w:jc w:val="both"/>
        <w:rPr>
          <w:rFonts w:ascii="DecimaWE Rg" w:eastAsia="Calibri" w:hAnsi="DecimaWE Rg"/>
          <w:sz w:val="23"/>
          <w:szCs w:val="23"/>
          <w:lang w:eastAsia="en-US"/>
        </w:rPr>
      </w:pPr>
      <w:r w:rsidRPr="001906F5">
        <w:rPr>
          <w:rFonts w:ascii="DecimaWE Rg" w:eastAsia="Calibri" w:hAnsi="DecimaWE Rg"/>
          <w:sz w:val="23"/>
          <w:szCs w:val="23"/>
          <w:lang w:eastAsia="en-US"/>
        </w:rPr>
        <w:t>copre l’arco temporale 2011-2017 e definisce per l’intero periodo i contributi a carico della Regione e degli enti locali del suo territorio;</w:t>
      </w:r>
    </w:p>
    <w:p w:rsidR="00F05D5E" w:rsidRDefault="00F05D5E" w:rsidP="00F05D5E">
      <w:pPr>
        <w:numPr>
          <w:ilvl w:val="0"/>
          <w:numId w:val="9"/>
        </w:numPr>
        <w:spacing w:before="120" w:after="200"/>
        <w:contextualSpacing/>
        <w:jc w:val="both"/>
        <w:rPr>
          <w:rFonts w:ascii="DecimaWE Rg" w:eastAsia="Calibri" w:hAnsi="DecimaWE Rg"/>
          <w:sz w:val="23"/>
          <w:szCs w:val="23"/>
          <w:lang w:eastAsia="en-US"/>
        </w:rPr>
      </w:pPr>
      <w:r>
        <w:rPr>
          <w:rFonts w:ascii="DecimaWE Rg" w:eastAsia="Calibri" w:hAnsi="DecimaWE Rg"/>
          <w:sz w:val="23"/>
          <w:szCs w:val="23"/>
          <w:lang w:eastAsia="en-US"/>
        </w:rPr>
        <w:t>il contributo che deriva dall’intesa dell’ottobre 2010</w:t>
      </w:r>
      <w:r w:rsidRPr="00100E96">
        <w:rPr>
          <w:rFonts w:ascii="DecimaWE Rg" w:eastAsia="Calibri" w:hAnsi="DecimaWE Rg"/>
          <w:sz w:val="23"/>
          <w:szCs w:val="23"/>
          <w:lang w:eastAsia="en-US"/>
        </w:rPr>
        <w:t xml:space="preserve"> (così detto patto Tremonti Tondo), originariamente destinato all’attuazione del federalismo fiscale, relativamente al periodo 2011-2017:</w:t>
      </w:r>
    </w:p>
    <w:p w:rsidR="00F05D5E" w:rsidRDefault="00F05D5E" w:rsidP="00F05D5E">
      <w:pPr>
        <w:numPr>
          <w:ilvl w:val="1"/>
          <w:numId w:val="9"/>
        </w:numPr>
        <w:spacing w:before="120" w:after="200"/>
        <w:contextualSpacing/>
        <w:jc w:val="both"/>
        <w:rPr>
          <w:rFonts w:ascii="DecimaWE Rg" w:eastAsia="Calibri" w:hAnsi="DecimaWE Rg"/>
          <w:sz w:val="23"/>
          <w:szCs w:val="23"/>
          <w:lang w:eastAsia="en-US"/>
        </w:rPr>
      </w:pPr>
      <w:r w:rsidRPr="00100E96">
        <w:rPr>
          <w:rFonts w:ascii="DecimaWE Rg" w:eastAsia="Calibri" w:hAnsi="DecimaWE Rg"/>
          <w:sz w:val="23"/>
          <w:szCs w:val="23"/>
          <w:lang w:eastAsia="en-US"/>
        </w:rPr>
        <w:t>viene sostituito con un contributo alla sostenibilità del debito pubblico;</w:t>
      </w:r>
    </w:p>
    <w:p w:rsidR="00F05D5E" w:rsidRDefault="00F05D5E" w:rsidP="00F05D5E">
      <w:pPr>
        <w:numPr>
          <w:ilvl w:val="1"/>
          <w:numId w:val="9"/>
        </w:numPr>
        <w:spacing w:before="120" w:after="200"/>
        <w:contextualSpacing/>
        <w:jc w:val="both"/>
        <w:rPr>
          <w:rFonts w:ascii="DecimaWE Rg" w:eastAsia="Calibri" w:hAnsi="DecimaWE Rg"/>
          <w:sz w:val="23"/>
          <w:szCs w:val="23"/>
          <w:lang w:eastAsia="en-US"/>
        </w:rPr>
      </w:pPr>
      <w:r>
        <w:rPr>
          <w:rFonts w:ascii="DecimaWE Rg" w:eastAsia="Calibri" w:hAnsi="DecimaWE Rg"/>
          <w:sz w:val="23"/>
          <w:szCs w:val="23"/>
          <w:lang w:eastAsia="en-US"/>
        </w:rPr>
        <w:t>v</w:t>
      </w:r>
      <w:r w:rsidRPr="00100E96">
        <w:rPr>
          <w:rFonts w:ascii="DecimaWE Rg" w:eastAsia="Calibri" w:hAnsi="DecimaWE Rg"/>
          <w:sz w:val="23"/>
          <w:szCs w:val="23"/>
          <w:lang w:eastAsia="en-US"/>
        </w:rPr>
        <w:t>iene diminuito di complessivi 350 milioni di euro in termini di saldo netto da finanziare e di 320 milioni di euro in termini di indebitamento netto;</w:t>
      </w:r>
    </w:p>
    <w:p w:rsidR="00F05D5E" w:rsidRPr="00100E96" w:rsidRDefault="00F05D5E" w:rsidP="00F05D5E">
      <w:pPr>
        <w:numPr>
          <w:ilvl w:val="1"/>
          <w:numId w:val="9"/>
        </w:numPr>
        <w:spacing w:before="120" w:after="200"/>
        <w:contextualSpacing/>
        <w:jc w:val="both"/>
        <w:rPr>
          <w:rFonts w:ascii="DecimaWE Rg" w:eastAsia="Calibri" w:hAnsi="DecimaWE Rg"/>
          <w:sz w:val="23"/>
          <w:szCs w:val="23"/>
          <w:lang w:eastAsia="en-US"/>
        </w:rPr>
      </w:pPr>
      <w:r>
        <w:rPr>
          <w:rFonts w:ascii="DecimaWE Rg" w:eastAsia="Calibri" w:hAnsi="DecimaWE Rg"/>
          <w:sz w:val="23"/>
          <w:szCs w:val="23"/>
          <w:lang w:eastAsia="en-US"/>
        </w:rPr>
        <w:t xml:space="preserve">viene </w:t>
      </w:r>
      <w:r w:rsidRPr="00100E96">
        <w:rPr>
          <w:rFonts w:ascii="DecimaWE Rg" w:eastAsia="Calibri" w:hAnsi="DecimaWE Rg"/>
          <w:sz w:val="23"/>
          <w:szCs w:val="23"/>
          <w:lang w:eastAsia="en-US"/>
        </w:rPr>
        <w:t>rivisto da una successiva intesa per quanto attiene alle annualità successive al 2017;</w:t>
      </w:r>
    </w:p>
    <w:p w:rsidR="00F05D5E" w:rsidRDefault="00F05D5E" w:rsidP="00F05D5E">
      <w:pPr>
        <w:numPr>
          <w:ilvl w:val="0"/>
          <w:numId w:val="9"/>
        </w:numPr>
        <w:spacing w:before="120" w:after="200"/>
        <w:contextualSpacing/>
        <w:jc w:val="both"/>
        <w:rPr>
          <w:rFonts w:ascii="DecimaWE Rg" w:eastAsia="Calibri" w:hAnsi="DecimaWE Rg"/>
          <w:sz w:val="23"/>
          <w:szCs w:val="23"/>
          <w:lang w:eastAsia="en-US"/>
        </w:rPr>
      </w:pPr>
      <w:r>
        <w:rPr>
          <w:rFonts w:ascii="DecimaWE Rg" w:eastAsia="Calibri" w:hAnsi="DecimaWE Rg"/>
          <w:sz w:val="23"/>
          <w:szCs w:val="23"/>
          <w:lang w:eastAsia="en-US"/>
        </w:rPr>
        <w:t>lo Stato s</w:t>
      </w:r>
      <w:r w:rsidRPr="00100E96">
        <w:rPr>
          <w:rFonts w:ascii="DecimaWE Rg" w:eastAsia="Calibri" w:hAnsi="DecimaWE Rg"/>
          <w:sz w:val="23"/>
          <w:szCs w:val="23"/>
          <w:lang w:eastAsia="en-US"/>
        </w:rPr>
        <w:t>i obbliga a versare crediti vantati dalla Regioni e relativi a rapporti pregressi per un ammontare di complessivi 15</w:t>
      </w:r>
      <w:r>
        <w:rPr>
          <w:rFonts w:ascii="DecimaWE Rg" w:eastAsia="Calibri" w:hAnsi="DecimaWE Rg"/>
          <w:sz w:val="23"/>
          <w:szCs w:val="23"/>
          <w:lang w:eastAsia="en-US"/>
        </w:rPr>
        <w:t>5</w:t>
      </w:r>
      <w:r w:rsidRPr="00100E96">
        <w:rPr>
          <w:rFonts w:ascii="DecimaWE Rg" w:eastAsia="Calibri" w:hAnsi="DecimaWE Rg"/>
          <w:sz w:val="23"/>
          <w:szCs w:val="23"/>
          <w:lang w:eastAsia="en-US"/>
        </w:rPr>
        <w:t>,</w:t>
      </w:r>
      <w:r>
        <w:rPr>
          <w:rFonts w:ascii="DecimaWE Rg" w:eastAsia="Calibri" w:hAnsi="DecimaWE Rg"/>
          <w:sz w:val="23"/>
          <w:szCs w:val="23"/>
          <w:lang w:eastAsia="en-US"/>
        </w:rPr>
        <w:t>4</w:t>
      </w:r>
      <w:r w:rsidRPr="00100E96">
        <w:rPr>
          <w:rFonts w:ascii="DecimaWE Rg" w:eastAsia="Calibri" w:hAnsi="DecimaWE Rg"/>
          <w:sz w:val="23"/>
          <w:szCs w:val="23"/>
          <w:lang w:eastAsia="en-US"/>
        </w:rPr>
        <w:t xml:space="preserve"> milioni di euro;</w:t>
      </w:r>
    </w:p>
    <w:p w:rsidR="00F05D5E" w:rsidRDefault="00F05D5E" w:rsidP="00F05D5E">
      <w:pPr>
        <w:numPr>
          <w:ilvl w:val="0"/>
          <w:numId w:val="9"/>
        </w:numPr>
        <w:spacing w:before="120" w:after="200"/>
        <w:contextualSpacing/>
        <w:jc w:val="both"/>
        <w:rPr>
          <w:rFonts w:ascii="DecimaWE Rg" w:eastAsia="Calibri" w:hAnsi="DecimaWE Rg"/>
          <w:sz w:val="23"/>
          <w:szCs w:val="23"/>
          <w:lang w:eastAsia="en-US"/>
        </w:rPr>
      </w:pPr>
      <w:r>
        <w:rPr>
          <w:rFonts w:ascii="DecimaWE Rg" w:eastAsia="Calibri" w:hAnsi="DecimaWE Rg"/>
          <w:sz w:val="23"/>
          <w:szCs w:val="23"/>
          <w:lang w:eastAsia="en-US"/>
        </w:rPr>
        <w:t>la R</w:t>
      </w:r>
      <w:r w:rsidRPr="00100E96">
        <w:rPr>
          <w:rFonts w:ascii="DecimaWE Rg" w:eastAsia="Calibri" w:hAnsi="DecimaWE Rg"/>
          <w:sz w:val="23"/>
          <w:szCs w:val="23"/>
          <w:lang w:eastAsia="en-US"/>
        </w:rPr>
        <w:t>egione rinuncia ai ricorsi pendenti avanti alla Corte Costituzionale in materia di misure di coordinamento della finanza pubblica;</w:t>
      </w:r>
    </w:p>
    <w:p w:rsidR="00F05D5E" w:rsidRDefault="00F05D5E" w:rsidP="00F05D5E">
      <w:pPr>
        <w:numPr>
          <w:ilvl w:val="0"/>
          <w:numId w:val="9"/>
        </w:numPr>
        <w:spacing w:before="120" w:after="200"/>
        <w:contextualSpacing/>
        <w:jc w:val="both"/>
        <w:rPr>
          <w:rFonts w:ascii="DecimaWE Rg" w:eastAsia="Calibri" w:hAnsi="DecimaWE Rg"/>
          <w:sz w:val="23"/>
          <w:szCs w:val="23"/>
          <w:lang w:eastAsia="en-US"/>
        </w:rPr>
      </w:pPr>
      <w:r>
        <w:rPr>
          <w:rFonts w:ascii="DecimaWE Rg" w:eastAsia="Calibri" w:hAnsi="DecimaWE Rg"/>
          <w:sz w:val="23"/>
          <w:szCs w:val="23"/>
          <w:lang w:eastAsia="en-US"/>
        </w:rPr>
        <w:t xml:space="preserve">lo </w:t>
      </w:r>
      <w:r w:rsidRPr="00100E96">
        <w:rPr>
          <w:rFonts w:ascii="DecimaWE Rg" w:eastAsia="Calibri" w:hAnsi="DecimaWE Rg"/>
          <w:sz w:val="23"/>
          <w:szCs w:val="23"/>
          <w:lang w:eastAsia="en-US"/>
        </w:rPr>
        <w:t>Stato</w:t>
      </w:r>
      <w:r>
        <w:rPr>
          <w:rFonts w:ascii="DecimaWE Rg" w:eastAsia="Calibri" w:hAnsi="DecimaWE Rg"/>
          <w:sz w:val="23"/>
          <w:szCs w:val="23"/>
          <w:lang w:eastAsia="en-US"/>
        </w:rPr>
        <w:t xml:space="preserve"> e la Regione concordano di adeguare </w:t>
      </w:r>
      <w:r w:rsidRPr="00100E96">
        <w:rPr>
          <w:rFonts w:ascii="DecimaWE Rg" w:eastAsia="Calibri" w:hAnsi="DecimaWE Rg"/>
          <w:sz w:val="23"/>
          <w:szCs w:val="23"/>
          <w:lang w:eastAsia="en-US"/>
        </w:rPr>
        <w:t>l’ordinamento finanziario contabile regionale ai principi in materia di armonizzazione di bilanci mediante ricorso alle fonti statutarie (e dunque alle norme di attuazione statutaria).</w:t>
      </w:r>
    </w:p>
    <w:p w:rsidR="00F05D5E" w:rsidRDefault="00F05D5E" w:rsidP="00F05D5E">
      <w:pPr>
        <w:spacing w:before="120" w:after="200"/>
        <w:contextualSpacing/>
        <w:jc w:val="both"/>
        <w:rPr>
          <w:rFonts w:ascii="DecimaWE Rg" w:eastAsia="Calibri" w:hAnsi="DecimaWE Rg"/>
          <w:sz w:val="23"/>
          <w:szCs w:val="23"/>
          <w:lang w:eastAsia="en-US"/>
        </w:rPr>
      </w:pPr>
    </w:p>
    <w:p w:rsidR="00F05D5E" w:rsidRPr="00231E0F" w:rsidRDefault="00F05D5E" w:rsidP="00F05D5E">
      <w:pPr>
        <w:pStyle w:val="Titolo3"/>
        <w:jc w:val="both"/>
        <w:rPr>
          <w:rFonts w:ascii="DecimaWE Rg" w:hAnsi="DecimaWE Rg"/>
        </w:rPr>
      </w:pPr>
      <w:r w:rsidRPr="00231E0F">
        <w:rPr>
          <w:rFonts w:ascii="DecimaWE Rg" w:hAnsi="DecimaWE Rg"/>
        </w:rPr>
        <w:t xml:space="preserve">Le manovre di coordinamento della finanza pubblica </w:t>
      </w:r>
    </w:p>
    <w:p w:rsidR="00F05D5E" w:rsidRPr="00231E0F" w:rsidRDefault="00F05D5E" w:rsidP="00F05D5E">
      <w:pPr>
        <w:spacing w:before="120"/>
        <w:jc w:val="both"/>
        <w:rPr>
          <w:rFonts w:ascii="DecimaWE Rg" w:hAnsi="DecimaWE Rg"/>
          <w:sz w:val="23"/>
          <w:szCs w:val="23"/>
        </w:rPr>
      </w:pPr>
      <w:r w:rsidRPr="00231E0F">
        <w:rPr>
          <w:rFonts w:ascii="DecimaWE Rg" w:hAnsi="DecimaWE Rg"/>
          <w:sz w:val="23"/>
          <w:szCs w:val="23"/>
        </w:rPr>
        <w:t>Il coordinamento della finanza pubblica, come è noto, è materia compresa nella competenza legislativa concorrente ai sensi dell’art. 117, terzo comma della Costituzione: enucleando i principi fondamentali di tale materia lo Stato persegue gli obiettivi di riequilibrio economico finanziario dei conti pubblici nazionali.</w:t>
      </w:r>
    </w:p>
    <w:p w:rsidR="00F05D5E" w:rsidRPr="00231E0F" w:rsidRDefault="00F05D5E" w:rsidP="00F05D5E">
      <w:pPr>
        <w:spacing w:before="120"/>
        <w:jc w:val="both"/>
        <w:rPr>
          <w:rFonts w:ascii="DecimaWE Rg" w:hAnsi="DecimaWE Rg"/>
          <w:sz w:val="23"/>
          <w:szCs w:val="23"/>
        </w:rPr>
      </w:pPr>
      <w:r w:rsidRPr="00231E0F">
        <w:rPr>
          <w:rFonts w:ascii="DecimaWE Rg" w:hAnsi="DecimaWE Rg"/>
          <w:sz w:val="23"/>
          <w:szCs w:val="23"/>
        </w:rPr>
        <w:t xml:space="preserve">Le misure </w:t>
      </w:r>
      <w:r>
        <w:rPr>
          <w:rFonts w:ascii="DecimaWE Rg" w:hAnsi="DecimaWE Rg"/>
          <w:sz w:val="23"/>
          <w:szCs w:val="23"/>
        </w:rPr>
        <w:t xml:space="preserve">di coordinamento </w:t>
      </w:r>
      <w:r w:rsidRPr="00231E0F">
        <w:rPr>
          <w:rFonts w:ascii="DecimaWE Rg" w:hAnsi="DecimaWE Rg"/>
          <w:sz w:val="23"/>
          <w:szCs w:val="23"/>
        </w:rPr>
        <w:t xml:space="preserve">operano sia sul versante della spesa che su quello dell’entrata: i “contributi in termini di indebitamento netto” riducono la capacità di spesa della Regione, introducendo un limite alle risorse impegnabili e pagabili nell’esercizio, mentre i “contributi in termini di saldo netto da finanziare” riducono l’entrata regionale, consentendo allo Stato di operare prelievi sulle quote di compartecipazione ai tributi erariali statutariamente spettanti all’Ente. </w:t>
      </w:r>
    </w:p>
    <w:p w:rsidR="00F05D5E" w:rsidRDefault="00F05D5E" w:rsidP="00F05D5E">
      <w:pPr>
        <w:spacing w:before="120"/>
        <w:jc w:val="both"/>
        <w:rPr>
          <w:rFonts w:ascii="DecimaWE Rg" w:hAnsi="DecimaWE Rg"/>
          <w:sz w:val="23"/>
          <w:szCs w:val="23"/>
        </w:rPr>
      </w:pPr>
      <w:r>
        <w:rPr>
          <w:rFonts w:ascii="DecimaWE Rg" w:hAnsi="DecimaWE Rg"/>
          <w:sz w:val="23"/>
          <w:szCs w:val="23"/>
        </w:rPr>
        <w:t>I</w:t>
      </w:r>
      <w:r w:rsidRPr="00231E0F">
        <w:rPr>
          <w:rFonts w:ascii="DecimaWE Rg" w:hAnsi="DecimaWE Rg"/>
          <w:sz w:val="23"/>
          <w:szCs w:val="23"/>
        </w:rPr>
        <w:t>l concorso in termini di indeb</w:t>
      </w:r>
      <w:r>
        <w:rPr>
          <w:rFonts w:ascii="DecimaWE Rg" w:hAnsi="DecimaWE Rg"/>
          <w:sz w:val="23"/>
          <w:szCs w:val="23"/>
        </w:rPr>
        <w:t>itamento netto previsto nel 2015</w:t>
      </w:r>
      <w:r w:rsidRPr="00231E0F">
        <w:rPr>
          <w:rFonts w:ascii="DecimaWE Rg" w:hAnsi="DecimaWE Rg"/>
          <w:sz w:val="23"/>
          <w:szCs w:val="23"/>
        </w:rPr>
        <w:t xml:space="preserve"> a carico della Regione e, quindi, la riduzione della spesa che la legislazione impone all’Autonomia speciale si increme</w:t>
      </w:r>
      <w:r>
        <w:rPr>
          <w:rFonts w:ascii="DecimaWE Rg" w:hAnsi="DecimaWE Rg"/>
          <w:sz w:val="23"/>
          <w:szCs w:val="23"/>
        </w:rPr>
        <w:t>nta rispetto al 2014 di circa 139,45</w:t>
      </w:r>
      <w:r w:rsidRPr="00231E0F">
        <w:rPr>
          <w:rFonts w:ascii="DecimaWE Rg" w:hAnsi="DecimaWE Rg"/>
          <w:sz w:val="23"/>
          <w:szCs w:val="23"/>
        </w:rPr>
        <w:t xml:space="preserve"> milioni di euro</w:t>
      </w:r>
      <w:r>
        <w:rPr>
          <w:rFonts w:ascii="DecimaWE Rg" w:hAnsi="DecimaWE Rg"/>
          <w:sz w:val="23"/>
          <w:szCs w:val="23"/>
        </w:rPr>
        <w:t>. G</w:t>
      </w:r>
      <w:r w:rsidRPr="00962E36">
        <w:rPr>
          <w:rFonts w:ascii="DecimaWE Rg" w:hAnsi="DecimaWE Rg"/>
          <w:sz w:val="23"/>
          <w:szCs w:val="23"/>
        </w:rPr>
        <w:t>li accantonamenti sull’entrata della Re</w:t>
      </w:r>
      <w:r>
        <w:rPr>
          <w:rFonts w:ascii="DecimaWE Rg" w:hAnsi="DecimaWE Rg"/>
          <w:sz w:val="23"/>
          <w:szCs w:val="23"/>
        </w:rPr>
        <w:t xml:space="preserve">gione a valere sul bilancio 2015 ammontano a 779,6 </w:t>
      </w:r>
      <w:r w:rsidRPr="00962E36">
        <w:rPr>
          <w:rFonts w:ascii="DecimaWE Rg" w:hAnsi="DecimaWE Rg"/>
          <w:sz w:val="23"/>
          <w:szCs w:val="23"/>
        </w:rPr>
        <w:t xml:space="preserve"> </w:t>
      </w:r>
      <w:r w:rsidRPr="00962E36">
        <w:rPr>
          <w:rFonts w:ascii="DecimaWE Rg" w:hAnsi="DecimaWE Rg"/>
          <w:sz w:val="23"/>
          <w:szCs w:val="23"/>
        </w:rPr>
        <w:lastRenderedPageBreak/>
        <w:t>milioni di euro</w:t>
      </w:r>
      <w:r>
        <w:rPr>
          <w:rFonts w:ascii="DecimaWE Rg" w:hAnsi="DecimaWE Rg"/>
          <w:sz w:val="23"/>
          <w:szCs w:val="23"/>
        </w:rPr>
        <w:t xml:space="preserve"> circa</w:t>
      </w:r>
      <w:r w:rsidRPr="00962E36">
        <w:rPr>
          <w:rFonts w:ascii="DecimaWE Rg" w:hAnsi="DecimaWE Rg"/>
          <w:sz w:val="23"/>
          <w:szCs w:val="23"/>
        </w:rPr>
        <w:t>, con un incremento rispetto allo stesso valore tenuto in considerazione nel bilan</w:t>
      </w:r>
      <w:r>
        <w:rPr>
          <w:rFonts w:ascii="DecimaWE Rg" w:hAnsi="DecimaWE Rg"/>
          <w:sz w:val="23"/>
          <w:szCs w:val="23"/>
        </w:rPr>
        <w:t xml:space="preserve">cio iniziale dell’esercizio 2014 pari a 59,72 </w:t>
      </w:r>
      <w:r w:rsidRPr="00962E36">
        <w:rPr>
          <w:rFonts w:ascii="DecimaWE Rg" w:hAnsi="DecimaWE Rg"/>
          <w:sz w:val="23"/>
          <w:szCs w:val="23"/>
        </w:rPr>
        <w:t>milioni di euro</w:t>
      </w:r>
      <w:r>
        <w:rPr>
          <w:rFonts w:ascii="DecimaWE Rg" w:hAnsi="DecimaWE Rg"/>
          <w:sz w:val="23"/>
          <w:szCs w:val="23"/>
        </w:rPr>
        <w:t>.</w:t>
      </w:r>
    </w:p>
    <w:p w:rsidR="00F05D5E" w:rsidRPr="00231E0F" w:rsidRDefault="00F05D5E" w:rsidP="00F05D5E">
      <w:pPr>
        <w:pStyle w:val="Titolo3"/>
        <w:jc w:val="both"/>
        <w:rPr>
          <w:rFonts w:ascii="DecimaWE Rg" w:hAnsi="DecimaWE Rg"/>
        </w:rPr>
      </w:pPr>
      <w:bookmarkStart w:id="2" w:name="_Ref403565845"/>
      <w:r>
        <w:rPr>
          <w:rFonts w:ascii="DecimaWE Rg" w:hAnsi="DecimaWE Rg"/>
        </w:rPr>
        <w:t>Il processo di armonizzazione dei bilanci pubblici: il d.lgs. 118/2011</w:t>
      </w:r>
      <w:bookmarkEnd w:id="2"/>
    </w:p>
    <w:p w:rsidR="00F05D5E" w:rsidRPr="00DE1868" w:rsidRDefault="00F05D5E" w:rsidP="00F05D5E">
      <w:pPr>
        <w:spacing w:before="120"/>
        <w:jc w:val="both"/>
        <w:rPr>
          <w:rFonts w:ascii="DecimaWE Rg" w:hAnsi="DecimaWE Rg"/>
          <w:sz w:val="23"/>
          <w:szCs w:val="23"/>
        </w:rPr>
      </w:pPr>
      <w:r w:rsidRPr="00DE1868">
        <w:rPr>
          <w:rFonts w:ascii="DecimaWE Rg" w:hAnsi="DecimaWE Rg"/>
          <w:sz w:val="23"/>
          <w:szCs w:val="23"/>
        </w:rPr>
        <w:t>Come è noto</w:t>
      </w:r>
      <w:r w:rsidR="00F96AD2">
        <w:rPr>
          <w:rFonts w:ascii="DecimaWE Rg" w:hAnsi="DecimaWE Rg"/>
          <w:sz w:val="23"/>
          <w:szCs w:val="23"/>
        </w:rPr>
        <w:t>,</w:t>
      </w:r>
      <w:r w:rsidRPr="00DE1868">
        <w:rPr>
          <w:rFonts w:ascii="DecimaWE Rg" w:hAnsi="DecimaWE Rg"/>
          <w:sz w:val="23"/>
          <w:szCs w:val="23"/>
        </w:rPr>
        <w:t xml:space="preserve"> l’iniziativa legislativa diretta alla standardizzazione delle scritture contabili è collocata nell’ambito del processo di attuazione dell’art. 119 della Costituzione e, dunque, trova la sua fonte innanzi tutto nella legge delega 5 maggio 2009 n. 42 (Delega al Governo in materia di federalismo fiscale, in attuazione dell'articolo 119 della Costituzione).</w:t>
      </w:r>
      <w:r>
        <w:rPr>
          <w:rFonts w:ascii="DecimaWE Rg" w:hAnsi="DecimaWE Rg"/>
          <w:sz w:val="23"/>
          <w:szCs w:val="23"/>
        </w:rPr>
        <w:t xml:space="preserve"> La </w:t>
      </w:r>
      <w:r w:rsidRPr="00DE1868">
        <w:rPr>
          <w:rFonts w:ascii="DecimaWE Rg" w:hAnsi="DecimaWE Rg"/>
          <w:sz w:val="23"/>
          <w:szCs w:val="23"/>
        </w:rPr>
        <w:t xml:space="preserve">Regione autonoma Friuli Venezia Giulia risulta coinvolta </w:t>
      </w:r>
      <w:r>
        <w:rPr>
          <w:rFonts w:ascii="DecimaWE Rg" w:hAnsi="DecimaWE Rg"/>
          <w:sz w:val="23"/>
          <w:szCs w:val="23"/>
        </w:rPr>
        <w:t>da</w:t>
      </w:r>
      <w:r w:rsidRPr="00DE1868">
        <w:rPr>
          <w:rFonts w:ascii="DecimaWE Rg" w:hAnsi="DecimaWE Rg"/>
          <w:sz w:val="23"/>
          <w:szCs w:val="23"/>
        </w:rPr>
        <w:t xml:space="preserve"> </w:t>
      </w:r>
      <w:r w:rsidR="00F96AD2">
        <w:rPr>
          <w:rFonts w:ascii="DecimaWE Rg" w:hAnsi="DecimaWE Rg"/>
          <w:sz w:val="23"/>
          <w:szCs w:val="23"/>
        </w:rPr>
        <w:t xml:space="preserve">tale </w:t>
      </w:r>
      <w:r w:rsidRPr="00DE1868">
        <w:rPr>
          <w:rFonts w:ascii="DecimaWE Rg" w:hAnsi="DecimaWE Rg"/>
          <w:sz w:val="23"/>
          <w:szCs w:val="23"/>
        </w:rPr>
        <w:t>processo riformatore</w:t>
      </w:r>
      <w:r>
        <w:rPr>
          <w:rFonts w:ascii="DecimaWE Rg" w:hAnsi="DecimaWE Rg"/>
          <w:sz w:val="23"/>
          <w:szCs w:val="23"/>
        </w:rPr>
        <w:t>, sebbene con modalità e tempi differenziati in virtù dell’autonomia statutaria.</w:t>
      </w:r>
      <w:r w:rsidR="00F96AD2">
        <w:rPr>
          <w:rFonts w:ascii="DecimaWE Rg" w:hAnsi="DecimaWE Rg"/>
          <w:sz w:val="23"/>
          <w:szCs w:val="23"/>
        </w:rPr>
        <w:t xml:space="preserve"> </w:t>
      </w:r>
      <w:r w:rsidRPr="00DE1868">
        <w:rPr>
          <w:rFonts w:ascii="DecimaWE Rg" w:hAnsi="DecimaWE Rg"/>
          <w:sz w:val="23"/>
          <w:szCs w:val="23"/>
        </w:rPr>
        <w:t xml:space="preserve">Dalla disciplina </w:t>
      </w:r>
      <w:r w:rsidR="00F96AD2">
        <w:rPr>
          <w:rFonts w:ascii="DecimaWE Rg" w:hAnsi="DecimaWE Rg"/>
          <w:sz w:val="23"/>
          <w:szCs w:val="23"/>
        </w:rPr>
        <w:t>normativa</w:t>
      </w:r>
      <w:r w:rsidRPr="00DE1868">
        <w:rPr>
          <w:rFonts w:ascii="DecimaWE Rg" w:hAnsi="DecimaWE Rg"/>
          <w:sz w:val="23"/>
          <w:szCs w:val="23"/>
        </w:rPr>
        <w:t>, incerta e confusa, sembrerebbe</w:t>
      </w:r>
      <w:r w:rsidR="00F96AD2">
        <w:rPr>
          <w:rFonts w:ascii="DecimaWE Rg" w:hAnsi="DecimaWE Rg"/>
          <w:sz w:val="23"/>
          <w:szCs w:val="23"/>
        </w:rPr>
        <w:t xml:space="preserve"> infatti</w:t>
      </w:r>
      <w:r w:rsidRPr="00DE1868">
        <w:rPr>
          <w:rFonts w:ascii="DecimaWE Rg" w:hAnsi="DecimaWE Rg"/>
          <w:sz w:val="23"/>
          <w:szCs w:val="23"/>
        </w:rPr>
        <w:t xml:space="preserve"> potersi ritenere che il legislatore statale, pur dotato della competenza costituzionale per imporre unilateralmente alla specialità la riforma, con norma ordinaria, subordini l’esercizio del suo potere all’accordo con la specialità, dando modo a quest’ultima di esercitare la propria competenza in materia contabile finché:</w:t>
      </w:r>
    </w:p>
    <w:p w:rsidR="00F05D5E" w:rsidRPr="00DE1868" w:rsidRDefault="00F05D5E" w:rsidP="00F05D5E">
      <w:pPr>
        <w:spacing w:before="120"/>
        <w:jc w:val="both"/>
        <w:rPr>
          <w:rFonts w:ascii="DecimaWE Rg" w:hAnsi="DecimaWE Rg"/>
          <w:sz w:val="23"/>
          <w:szCs w:val="23"/>
        </w:rPr>
      </w:pPr>
      <w:r w:rsidRPr="00DE1868">
        <w:rPr>
          <w:rFonts w:ascii="DecimaWE Rg" w:hAnsi="DecimaWE Rg"/>
          <w:sz w:val="23"/>
          <w:szCs w:val="23"/>
        </w:rPr>
        <w:t>1)</w:t>
      </w:r>
      <w:r w:rsidRPr="00DE1868">
        <w:rPr>
          <w:rFonts w:ascii="DecimaWE Rg" w:hAnsi="DecimaWE Rg"/>
          <w:sz w:val="23"/>
          <w:szCs w:val="23"/>
        </w:rPr>
        <w:tab/>
        <w:t>non intervengano le norme di attuazione statutaria convenute in via pattizia;</w:t>
      </w:r>
    </w:p>
    <w:p w:rsidR="00F05D5E" w:rsidRPr="00DE1868" w:rsidRDefault="00F05D5E" w:rsidP="00F05D5E">
      <w:pPr>
        <w:spacing w:before="120"/>
        <w:jc w:val="both"/>
        <w:rPr>
          <w:rFonts w:ascii="DecimaWE Rg" w:hAnsi="DecimaWE Rg"/>
          <w:sz w:val="23"/>
          <w:szCs w:val="23"/>
        </w:rPr>
      </w:pPr>
      <w:r w:rsidRPr="00DE1868">
        <w:rPr>
          <w:rFonts w:ascii="DecimaWE Rg" w:hAnsi="DecimaWE Rg"/>
          <w:sz w:val="23"/>
          <w:szCs w:val="23"/>
        </w:rPr>
        <w:t>2)</w:t>
      </w:r>
      <w:r w:rsidRPr="00DE1868">
        <w:rPr>
          <w:rFonts w:ascii="DecimaWE Rg" w:hAnsi="DecimaWE Rg"/>
          <w:sz w:val="23"/>
          <w:szCs w:val="23"/>
        </w:rPr>
        <w:tab/>
        <w:t>lo stesso legislatore statale, con legge ordinaria, non abroghi le disposizioni che impediscono l’applicazione diretta della riforma contabile alla specialità.</w:t>
      </w:r>
    </w:p>
    <w:p w:rsidR="00F05D5E" w:rsidRPr="00BD6B01" w:rsidRDefault="00F05D5E" w:rsidP="00F05D5E">
      <w:pPr>
        <w:spacing w:before="120"/>
        <w:jc w:val="both"/>
        <w:rPr>
          <w:rFonts w:ascii="DecimaWE Rg" w:hAnsi="DecimaWE Rg"/>
          <w:sz w:val="23"/>
          <w:szCs w:val="23"/>
        </w:rPr>
      </w:pPr>
      <w:r w:rsidRPr="00BD6B01">
        <w:rPr>
          <w:rFonts w:ascii="DecimaWE Rg" w:hAnsi="DecimaWE Rg"/>
          <w:sz w:val="23"/>
          <w:szCs w:val="23"/>
        </w:rPr>
        <w:t>L’amministrazione regionale, nel prendere atto d</w:t>
      </w:r>
      <w:r>
        <w:rPr>
          <w:rFonts w:ascii="DecimaWE Rg" w:hAnsi="DecimaWE Rg"/>
          <w:sz w:val="23"/>
          <w:szCs w:val="23"/>
        </w:rPr>
        <w:t>ell’esistenza di un arco temporale</w:t>
      </w:r>
      <w:r w:rsidRPr="00BD6B01">
        <w:rPr>
          <w:rFonts w:ascii="DecimaWE Rg" w:hAnsi="DecimaWE Rg"/>
          <w:sz w:val="23"/>
          <w:szCs w:val="23"/>
        </w:rPr>
        <w:t xml:space="preserve"> di incerta durata, nel quale la Regione continuerebbe ad esercitare la propria competenza in materia contabile, e consapevole del fatto che l’adeguamento alla normativa nazionale rappresenti un punto di arrivo ineludibile, anche alla luce della situazione complessiva della finanza pubblica del paese, ha valutato l’opportunità di avvalersi dell’attuale competenza legislativa per rendere il passaggio tra i sistemi contabili - quello regionale e quello nazionale armonizzato -  il più possibile progressivo e fluido</w:t>
      </w:r>
      <w:r>
        <w:rPr>
          <w:rFonts w:ascii="DecimaWE Rg" w:hAnsi="DecimaWE Rg"/>
          <w:sz w:val="23"/>
          <w:szCs w:val="23"/>
        </w:rPr>
        <w:t>.</w:t>
      </w:r>
    </w:p>
    <w:p w:rsidR="00F05D5E" w:rsidRPr="00DE1868" w:rsidRDefault="00F05D5E" w:rsidP="00F05D5E">
      <w:pPr>
        <w:spacing w:before="120"/>
        <w:jc w:val="both"/>
        <w:rPr>
          <w:rFonts w:ascii="DecimaWE Rg" w:hAnsi="DecimaWE Rg"/>
          <w:sz w:val="23"/>
          <w:szCs w:val="23"/>
        </w:rPr>
      </w:pPr>
      <w:r w:rsidRPr="00DE1868">
        <w:rPr>
          <w:rFonts w:ascii="DecimaWE Rg" w:hAnsi="DecimaWE Rg"/>
          <w:sz w:val="23"/>
          <w:szCs w:val="23"/>
        </w:rPr>
        <w:t xml:space="preserve">Per questa ragione, </w:t>
      </w:r>
      <w:r>
        <w:rPr>
          <w:rFonts w:ascii="DecimaWE Rg" w:hAnsi="DecimaWE Rg"/>
          <w:sz w:val="23"/>
          <w:szCs w:val="23"/>
        </w:rPr>
        <w:t xml:space="preserve">l’amministrazione regionale ha intrapreso </w:t>
      </w:r>
      <w:r w:rsidRPr="00DE1868">
        <w:rPr>
          <w:rFonts w:ascii="DecimaWE Rg" w:hAnsi="DecimaWE Rg"/>
          <w:sz w:val="23"/>
          <w:szCs w:val="23"/>
        </w:rPr>
        <w:t xml:space="preserve">un percorso che avvicini gradualmente l’ordinamento contabile attuale a quello delineato dal d.lgs. 118/2011, a partire dalla predisposizione del bilancio di previsione 2015-17 e dalle operazioni di chiusura relative all’esercizio 2014, e successivamente nel corso </w:t>
      </w:r>
      <w:r>
        <w:rPr>
          <w:rFonts w:ascii="DecimaWE Rg" w:hAnsi="DecimaWE Rg"/>
          <w:sz w:val="23"/>
          <w:szCs w:val="23"/>
        </w:rPr>
        <w:t>dell’esercizio finanziario 2015; tale percorso incide sensibilmente sulla rappresentazione del bilancio di previsione, ed è a tale fine che se ne dà conto in questa sede.</w:t>
      </w:r>
    </w:p>
    <w:p w:rsidR="00F05D5E" w:rsidRDefault="00F05D5E" w:rsidP="00F05D5E">
      <w:pPr>
        <w:spacing w:before="120"/>
        <w:jc w:val="both"/>
        <w:rPr>
          <w:rFonts w:ascii="DecimaWE Rg" w:hAnsi="DecimaWE Rg"/>
          <w:sz w:val="23"/>
          <w:szCs w:val="23"/>
        </w:rPr>
      </w:pPr>
      <w:r>
        <w:rPr>
          <w:rFonts w:ascii="DecimaWE Rg" w:hAnsi="DecimaWE Rg"/>
          <w:sz w:val="23"/>
          <w:szCs w:val="23"/>
        </w:rPr>
        <w:t>L’aspetto di maggiore impatto di tale percorso di avvicinamento consiste nell’attuazione</w:t>
      </w:r>
      <w:r w:rsidRPr="00DE1868">
        <w:rPr>
          <w:rFonts w:ascii="DecimaWE Rg" w:hAnsi="DecimaWE Rg"/>
          <w:sz w:val="23"/>
          <w:szCs w:val="23"/>
        </w:rPr>
        <w:t xml:space="preserve">, fin dalla predisposizione del bilancio di previsione 2015-17, </w:t>
      </w:r>
      <w:r>
        <w:rPr>
          <w:rFonts w:ascii="DecimaWE Rg" w:hAnsi="DecimaWE Rg"/>
          <w:sz w:val="23"/>
          <w:szCs w:val="23"/>
        </w:rPr>
        <w:t xml:space="preserve">di </w:t>
      </w:r>
      <w:r w:rsidRPr="00065823">
        <w:rPr>
          <w:rFonts w:ascii="DecimaWE Rg" w:hAnsi="DecimaWE Rg"/>
          <w:b/>
          <w:sz w:val="23"/>
          <w:szCs w:val="23"/>
        </w:rPr>
        <w:t>una riclassificazione dei capitoli del bilancio regionale secondo la struttura del bila</w:t>
      </w:r>
      <w:r>
        <w:rPr>
          <w:rFonts w:ascii="DecimaWE Rg" w:hAnsi="DecimaWE Rg"/>
          <w:b/>
          <w:sz w:val="23"/>
          <w:szCs w:val="23"/>
        </w:rPr>
        <w:t>ncio previsto dal d.lgs. 118/201</w:t>
      </w:r>
      <w:r w:rsidRPr="00065823">
        <w:rPr>
          <w:rFonts w:ascii="DecimaWE Rg" w:hAnsi="DecimaWE Rg"/>
          <w:b/>
          <w:sz w:val="23"/>
          <w:szCs w:val="23"/>
        </w:rPr>
        <w:t>1</w:t>
      </w:r>
      <w:r>
        <w:rPr>
          <w:rFonts w:ascii="DecimaWE Rg" w:hAnsi="DecimaWE Rg"/>
          <w:sz w:val="23"/>
          <w:szCs w:val="23"/>
        </w:rPr>
        <w:t xml:space="preserve">. </w:t>
      </w:r>
    </w:p>
    <w:p w:rsidR="00F05D5E" w:rsidRDefault="00F05D5E" w:rsidP="00F05D5E">
      <w:pPr>
        <w:spacing w:before="120"/>
        <w:jc w:val="both"/>
        <w:rPr>
          <w:rFonts w:ascii="DecimaWE Rg" w:hAnsi="DecimaWE Rg"/>
          <w:sz w:val="23"/>
          <w:szCs w:val="23"/>
        </w:rPr>
      </w:pPr>
      <w:r>
        <w:rPr>
          <w:rFonts w:ascii="DecimaWE Rg" w:hAnsi="DecimaWE Rg"/>
          <w:sz w:val="23"/>
          <w:szCs w:val="23"/>
        </w:rPr>
        <w:t xml:space="preserve">Tale riclassificazione ha comportato, come effetto di maggiore impatto sulla rappresentazione dei saldi del bilancio regionale, l’allocazione tra i capitoli operativi del bilancio di alcune poste afferenti a regolazioni tecnico-contabili che, negli esercizi precedenti, erano rappresentate tra le partite di giro: l’impatto più significativo, anche dal punto di vista della rilevanza dell’importo, è ascrivibile alla rappresentazione nel titolo 1 dell’entrata e nel titolo 1 della spesa delle poste relative agli </w:t>
      </w:r>
      <w:r w:rsidRPr="00D77DFF">
        <w:rPr>
          <w:rFonts w:ascii="DecimaWE Rg" w:hAnsi="DecimaWE Rg"/>
          <w:b/>
          <w:sz w:val="23"/>
          <w:szCs w:val="23"/>
        </w:rPr>
        <w:t>accantonamenti per il concorso alle manovre di finanza pubblica</w:t>
      </w:r>
      <w:r>
        <w:rPr>
          <w:rFonts w:ascii="DecimaWE Rg" w:hAnsi="DecimaWE Rg"/>
          <w:sz w:val="23"/>
          <w:szCs w:val="23"/>
        </w:rPr>
        <w:t>.</w:t>
      </w:r>
    </w:p>
    <w:p w:rsidR="00F05D5E" w:rsidRDefault="00F05D5E" w:rsidP="00F05D5E">
      <w:pPr>
        <w:spacing w:before="120"/>
        <w:jc w:val="both"/>
        <w:rPr>
          <w:rFonts w:ascii="DecimaWE Rg" w:hAnsi="DecimaWE Rg"/>
          <w:sz w:val="23"/>
          <w:szCs w:val="23"/>
        </w:rPr>
      </w:pPr>
      <w:r>
        <w:rPr>
          <w:rFonts w:ascii="DecimaWE Rg" w:hAnsi="DecimaWE Rg"/>
          <w:sz w:val="23"/>
          <w:szCs w:val="23"/>
        </w:rPr>
        <w:t xml:space="preserve">Effetti significativi sono dovuti, altresì, alla rappresentazione nel titolo 4 dell’entrata e nel titolo 2 della spesa delle poste relative alla contabilizzazione degli </w:t>
      </w:r>
      <w:r w:rsidRPr="00D77DFF">
        <w:rPr>
          <w:rFonts w:ascii="DecimaWE Rg" w:hAnsi="DecimaWE Rg"/>
          <w:b/>
          <w:sz w:val="23"/>
          <w:szCs w:val="23"/>
        </w:rPr>
        <w:t>anticipi e recuperi</w:t>
      </w:r>
      <w:r>
        <w:rPr>
          <w:rFonts w:ascii="DecimaWE Rg" w:hAnsi="DecimaWE Rg"/>
          <w:sz w:val="23"/>
          <w:szCs w:val="23"/>
        </w:rPr>
        <w:t xml:space="preserve"> operati dalla Struttura di gestione dell’Agenzia delle Entrate in sede di attribuzione del gettito spettante alla Regione per quanto riguarda le entrate tributarie: a tali poste, consistenti in sostanza in un’anticipazione di liquidità da parte della Struttura di gestione, destinata a venire rimborsata entro brevissimo termine da parte della Regione, è stata riconosciuta natura di incremento (e, rispettivamente, decremento) di attività finanziarie, al pari delle concessioni e riscossioni di crediti.</w:t>
      </w:r>
    </w:p>
    <w:p w:rsidR="00F05D5E" w:rsidRDefault="00F05D5E" w:rsidP="00F05D5E">
      <w:pPr>
        <w:spacing w:before="120"/>
        <w:jc w:val="both"/>
        <w:rPr>
          <w:rFonts w:ascii="DecimaWE Rg" w:hAnsi="DecimaWE Rg"/>
          <w:sz w:val="23"/>
          <w:szCs w:val="23"/>
        </w:rPr>
      </w:pPr>
      <w:r>
        <w:rPr>
          <w:rFonts w:ascii="DecimaWE Rg" w:hAnsi="DecimaWE Rg"/>
          <w:sz w:val="23"/>
          <w:szCs w:val="23"/>
        </w:rPr>
        <w:t xml:space="preserve">Infine, analoga natura è stata riconosciuta alle poste destinate a rappresentare in bilancio i </w:t>
      </w:r>
      <w:r w:rsidRPr="00991A90">
        <w:rPr>
          <w:rFonts w:ascii="DecimaWE Rg" w:hAnsi="DecimaWE Rg"/>
          <w:b/>
          <w:sz w:val="23"/>
          <w:szCs w:val="23"/>
        </w:rPr>
        <w:t>prelievi dal conto</w:t>
      </w:r>
      <w:r>
        <w:rPr>
          <w:rFonts w:ascii="DecimaWE Rg" w:hAnsi="DecimaWE Rg"/>
          <w:b/>
          <w:sz w:val="23"/>
          <w:szCs w:val="23"/>
        </w:rPr>
        <w:t xml:space="preserve"> </w:t>
      </w:r>
      <w:r w:rsidRPr="00991A90">
        <w:rPr>
          <w:rFonts w:ascii="DecimaWE Rg" w:hAnsi="DecimaWE Rg"/>
          <w:b/>
          <w:sz w:val="23"/>
          <w:szCs w:val="23"/>
        </w:rPr>
        <w:t xml:space="preserve">corrente intestato alla Regione </w:t>
      </w:r>
      <w:r>
        <w:rPr>
          <w:rFonts w:ascii="DecimaWE Rg" w:hAnsi="DecimaWE Rg"/>
          <w:b/>
          <w:sz w:val="23"/>
          <w:szCs w:val="23"/>
        </w:rPr>
        <w:t>presso la T</w:t>
      </w:r>
      <w:r w:rsidRPr="00991A90">
        <w:rPr>
          <w:rFonts w:ascii="DecimaWE Rg" w:hAnsi="DecimaWE Rg"/>
          <w:b/>
          <w:sz w:val="23"/>
          <w:szCs w:val="23"/>
        </w:rPr>
        <w:t>esoreria centrale dello Stato</w:t>
      </w:r>
      <w:r>
        <w:rPr>
          <w:rFonts w:ascii="DecimaWE Rg" w:hAnsi="DecimaWE Rg"/>
          <w:sz w:val="23"/>
          <w:szCs w:val="23"/>
        </w:rPr>
        <w:t>.</w:t>
      </w:r>
    </w:p>
    <w:bookmarkEnd w:id="0"/>
    <w:p w:rsidR="00030C21" w:rsidRPr="00F22CC2" w:rsidRDefault="00030C21" w:rsidP="00030C21">
      <w:pPr>
        <w:spacing w:before="120"/>
        <w:jc w:val="both"/>
        <w:rPr>
          <w:rFonts w:ascii="DecimaWE Rg" w:hAnsi="DecimaWE Rg"/>
          <w:i/>
          <w:color w:val="0070C0"/>
        </w:rPr>
      </w:pPr>
    </w:p>
    <w:p w:rsidR="00030C21" w:rsidRPr="004B1126" w:rsidRDefault="00030C21" w:rsidP="00030C21">
      <w:pPr>
        <w:pStyle w:val="Titolo2"/>
        <w:rPr>
          <w:rFonts w:ascii="DecimaWE Rg" w:hAnsi="DecimaWE Rg"/>
          <w:i w:val="0"/>
        </w:rPr>
      </w:pPr>
      <w:bookmarkStart w:id="3" w:name="_Ref308516641"/>
      <w:bookmarkStart w:id="4" w:name="_Ref308516679"/>
      <w:bookmarkStart w:id="5" w:name="_Toc375578721"/>
      <w:bookmarkStart w:id="6" w:name="_Toc214158156"/>
      <w:bookmarkStart w:id="7" w:name="_Toc214158240"/>
      <w:bookmarkStart w:id="8" w:name="_Toc214168329"/>
      <w:r w:rsidRPr="004B1126">
        <w:rPr>
          <w:rFonts w:ascii="DecimaWE Rg" w:hAnsi="DecimaWE Rg"/>
          <w:i w:val="0"/>
        </w:rPr>
        <w:lastRenderedPageBreak/>
        <w:t>IL QUADRO DELLE ENTRATE</w:t>
      </w:r>
      <w:bookmarkEnd w:id="3"/>
      <w:bookmarkEnd w:id="4"/>
      <w:bookmarkEnd w:id="5"/>
    </w:p>
    <w:p w:rsidR="0022176E" w:rsidRDefault="0022176E" w:rsidP="00030C21">
      <w:pPr>
        <w:spacing w:before="120"/>
        <w:jc w:val="both"/>
        <w:rPr>
          <w:rFonts w:ascii="DecimaWE Rg" w:hAnsi="DecimaWE Rg"/>
          <w:sz w:val="23"/>
          <w:szCs w:val="23"/>
        </w:rPr>
      </w:pPr>
      <w:bookmarkStart w:id="9" w:name="_Toc214158163"/>
      <w:bookmarkStart w:id="10" w:name="_Toc214158247"/>
      <w:bookmarkStart w:id="11" w:name="_Toc214168336"/>
      <w:bookmarkStart w:id="12" w:name="_Toc249952460"/>
      <w:bookmarkStart w:id="13" w:name="_Toc283113978"/>
      <w:bookmarkStart w:id="14" w:name="_Ref308539801"/>
      <w:bookmarkStart w:id="15" w:name="_Ref308539829"/>
      <w:bookmarkStart w:id="16" w:name="_Ref308600733"/>
      <w:bookmarkStart w:id="17" w:name="_Ref308619074"/>
      <w:bookmarkStart w:id="18" w:name="_Toc214158164"/>
      <w:bookmarkStart w:id="19" w:name="_Toc214158248"/>
      <w:bookmarkStart w:id="20" w:name="_Toc214168337"/>
      <w:bookmarkEnd w:id="6"/>
      <w:bookmarkEnd w:id="7"/>
      <w:bookmarkEnd w:id="8"/>
      <w:r>
        <w:rPr>
          <w:rFonts w:ascii="DecimaWE Rg" w:hAnsi="DecimaWE Rg"/>
          <w:sz w:val="23"/>
          <w:szCs w:val="23"/>
        </w:rPr>
        <w:t>La composizione della parte entrata del bilancio regionale</w:t>
      </w:r>
      <w:r w:rsidR="00F94268">
        <w:rPr>
          <w:rFonts w:ascii="DecimaWE Rg" w:hAnsi="DecimaWE Rg"/>
          <w:sz w:val="23"/>
          <w:szCs w:val="23"/>
        </w:rPr>
        <w:t xml:space="preserve"> per l’esercizio 201</w:t>
      </w:r>
      <w:r w:rsidR="00F96AD2">
        <w:rPr>
          <w:rFonts w:ascii="DecimaWE Rg" w:hAnsi="DecimaWE Rg"/>
          <w:sz w:val="23"/>
          <w:szCs w:val="23"/>
        </w:rPr>
        <w:t>5</w:t>
      </w:r>
      <w:r>
        <w:rPr>
          <w:rFonts w:ascii="DecimaWE Rg" w:hAnsi="DecimaWE Rg"/>
          <w:sz w:val="23"/>
          <w:szCs w:val="23"/>
        </w:rPr>
        <w:t xml:space="preserve"> è rappresentata dal grafico seguente:</w:t>
      </w:r>
    </w:p>
    <w:p w:rsidR="0022176E" w:rsidRDefault="002F4988" w:rsidP="00030C21">
      <w:pPr>
        <w:spacing w:before="120"/>
        <w:jc w:val="both"/>
        <w:rPr>
          <w:rFonts w:ascii="DecimaWE Rg" w:hAnsi="DecimaWE Rg"/>
          <w:sz w:val="23"/>
          <w:szCs w:val="23"/>
        </w:rPr>
      </w:pPr>
      <w:r>
        <w:rPr>
          <w:noProof/>
        </w:rPr>
        <w:drawing>
          <wp:inline distT="0" distB="0" distL="0" distR="0" wp14:anchorId="6E77B0A3" wp14:editId="6E77B0A4">
            <wp:extent cx="6116129" cy="2216988"/>
            <wp:effectExtent l="0" t="0" r="18415" b="1206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176E" w:rsidRDefault="0022176E" w:rsidP="00030C21">
      <w:pPr>
        <w:spacing w:before="120"/>
        <w:jc w:val="both"/>
        <w:rPr>
          <w:rFonts w:ascii="DecimaWE Rg" w:hAnsi="DecimaWE Rg"/>
          <w:sz w:val="23"/>
          <w:szCs w:val="23"/>
        </w:rPr>
      </w:pPr>
      <w:r>
        <w:rPr>
          <w:rFonts w:ascii="DecimaWE Rg" w:hAnsi="DecimaWE Rg"/>
          <w:sz w:val="23"/>
          <w:szCs w:val="23"/>
        </w:rPr>
        <w:t>Risulta evidente che l</w:t>
      </w:r>
      <w:r w:rsidR="004B1126" w:rsidRPr="004B1126">
        <w:rPr>
          <w:rFonts w:ascii="DecimaWE Rg" w:hAnsi="DecimaWE Rg"/>
          <w:sz w:val="23"/>
          <w:szCs w:val="23"/>
        </w:rPr>
        <w:t xml:space="preserve">e entrate del bilancio regionale sono in </w:t>
      </w:r>
      <w:r w:rsidR="00F94268">
        <w:rPr>
          <w:rFonts w:ascii="DecimaWE Rg" w:hAnsi="DecimaWE Rg"/>
          <w:sz w:val="23"/>
          <w:szCs w:val="23"/>
        </w:rPr>
        <w:t>massima</w:t>
      </w:r>
      <w:r w:rsidR="004B1126" w:rsidRPr="004B1126">
        <w:rPr>
          <w:rFonts w:ascii="DecimaWE Rg" w:hAnsi="DecimaWE Rg"/>
          <w:sz w:val="23"/>
          <w:szCs w:val="23"/>
        </w:rPr>
        <w:t xml:space="preserve"> parte di natura tributaria: la Regione percepisce infatti una compartecipazione ai tributi erariali versati nel territorio regionale (art. 49 statuto) ed è destinataria diretta </w:t>
      </w:r>
      <w:r w:rsidR="00F94268">
        <w:rPr>
          <w:rFonts w:ascii="DecimaWE Rg" w:hAnsi="DecimaWE Rg"/>
          <w:sz w:val="23"/>
          <w:szCs w:val="23"/>
        </w:rPr>
        <w:t>dei</w:t>
      </w:r>
      <w:r w:rsidR="004B1126" w:rsidRPr="004B1126">
        <w:rPr>
          <w:rFonts w:ascii="DecimaWE Rg" w:hAnsi="DecimaWE Rg"/>
          <w:sz w:val="23"/>
          <w:szCs w:val="23"/>
        </w:rPr>
        <w:t xml:space="preserve"> tributi regionali (ad esempio l’Irap).</w:t>
      </w:r>
      <w:r>
        <w:rPr>
          <w:rFonts w:ascii="DecimaWE Rg" w:hAnsi="DecimaWE Rg"/>
          <w:sz w:val="23"/>
          <w:szCs w:val="23"/>
        </w:rPr>
        <w:t xml:space="preserve"> </w:t>
      </w:r>
    </w:p>
    <w:p w:rsidR="0022176E" w:rsidRDefault="0022176E" w:rsidP="00030C21">
      <w:pPr>
        <w:spacing w:before="120"/>
        <w:jc w:val="both"/>
        <w:rPr>
          <w:rFonts w:ascii="DecimaWE Rg" w:hAnsi="DecimaWE Rg"/>
          <w:sz w:val="23"/>
          <w:szCs w:val="23"/>
        </w:rPr>
      </w:pPr>
      <w:r>
        <w:rPr>
          <w:rFonts w:ascii="DecimaWE Rg" w:hAnsi="DecimaWE Rg"/>
          <w:sz w:val="23"/>
          <w:szCs w:val="23"/>
        </w:rPr>
        <w:t xml:space="preserve">Tra le altre entrate, vi sono trasferimenti da parte dello Stato, dell’Unione europea ecc.; entrate regionali di natura </w:t>
      </w:r>
      <w:proofErr w:type="spellStart"/>
      <w:r>
        <w:rPr>
          <w:rFonts w:ascii="DecimaWE Rg" w:hAnsi="DecimaWE Rg"/>
          <w:sz w:val="23"/>
          <w:szCs w:val="23"/>
        </w:rPr>
        <w:t>extratributaria</w:t>
      </w:r>
      <w:proofErr w:type="spellEnd"/>
      <w:r>
        <w:rPr>
          <w:rFonts w:ascii="DecimaWE Rg" w:hAnsi="DecimaWE Rg"/>
          <w:sz w:val="23"/>
          <w:szCs w:val="23"/>
        </w:rPr>
        <w:t>, entrate derivanti, in generale, dalla gestione del capitale, ed entrate derivanti dall’</w:t>
      </w:r>
      <w:r w:rsidR="00F94268">
        <w:rPr>
          <w:rFonts w:ascii="DecimaWE Rg" w:hAnsi="DecimaWE Rg"/>
          <w:sz w:val="23"/>
          <w:szCs w:val="23"/>
        </w:rPr>
        <w:t>indebitamento</w:t>
      </w:r>
      <w:r w:rsidR="00F94268" w:rsidRPr="00F94268">
        <w:rPr>
          <w:rFonts w:ascii="DecimaWE Rg" w:hAnsi="DecimaWE Rg"/>
          <w:sz w:val="23"/>
          <w:szCs w:val="23"/>
        </w:rPr>
        <w:t xml:space="preserve"> </w:t>
      </w:r>
      <w:r w:rsidR="00DF381D">
        <w:rPr>
          <w:rFonts w:ascii="DecimaWE Rg" w:hAnsi="DecimaWE Rg"/>
          <w:sz w:val="23"/>
          <w:szCs w:val="23"/>
        </w:rPr>
        <w:t>e</w:t>
      </w:r>
      <w:r w:rsidR="00F94268">
        <w:rPr>
          <w:rFonts w:ascii="DecimaWE Rg" w:hAnsi="DecimaWE Rg"/>
          <w:sz w:val="23"/>
          <w:szCs w:val="23"/>
        </w:rPr>
        <w:t xml:space="preserve"> l’avanzo</w:t>
      </w:r>
      <w:r w:rsidR="00DF381D">
        <w:rPr>
          <w:rFonts w:ascii="DecimaWE Rg" w:hAnsi="DecimaWE Rg"/>
          <w:sz w:val="23"/>
          <w:szCs w:val="23"/>
        </w:rPr>
        <w:t xml:space="preserve"> vincolato</w:t>
      </w:r>
      <w:r w:rsidR="00F94268">
        <w:rPr>
          <w:rFonts w:ascii="DecimaWE Rg" w:hAnsi="DecimaWE Rg"/>
          <w:sz w:val="23"/>
          <w:szCs w:val="23"/>
        </w:rPr>
        <w:t xml:space="preserve"> presunto dell’esercizio precedente.</w:t>
      </w:r>
    </w:p>
    <w:p w:rsidR="0022176E" w:rsidRDefault="0022176E" w:rsidP="00030C21">
      <w:pPr>
        <w:spacing w:before="120"/>
        <w:jc w:val="both"/>
        <w:rPr>
          <w:rFonts w:ascii="DecimaWE Rg" w:hAnsi="DecimaWE Rg"/>
          <w:sz w:val="23"/>
          <w:szCs w:val="23"/>
        </w:rPr>
      </w:pPr>
      <w:r>
        <w:rPr>
          <w:rFonts w:ascii="DecimaWE Rg" w:hAnsi="DecimaWE Rg"/>
          <w:sz w:val="23"/>
          <w:szCs w:val="23"/>
        </w:rPr>
        <w:t>Completano il bilancio, le cosiddette “partite di giro”, ovv</w:t>
      </w:r>
      <w:r w:rsidR="00F94268">
        <w:rPr>
          <w:rFonts w:ascii="DecimaWE Rg" w:hAnsi="DecimaWE Rg"/>
          <w:sz w:val="23"/>
          <w:szCs w:val="23"/>
        </w:rPr>
        <w:t>ero entrate per conto di terzi, sull’utilizzo delle quali l’amministrazione non può esercitare nessun tipo di discrezionalità: trattandosi di poste destinate a transitare nel bilancio per uguale importo in entrata e in spesa la loro disamina viene solitamente omessa.</w:t>
      </w:r>
    </w:p>
    <w:p w:rsidR="0022176E" w:rsidRPr="004B1126" w:rsidRDefault="0022176E" w:rsidP="00030C21">
      <w:pPr>
        <w:spacing w:before="120"/>
        <w:jc w:val="both"/>
        <w:rPr>
          <w:rFonts w:ascii="DecimaWE Rg" w:hAnsi="DecimaWE Rg"/>
          <w:sz w:val="23"/>
          <w:szCs w:val="23"/>
        </w:rPr>
      </w:pPr>
    </w:p>
    <w:p w:rsidR="00030C21" w:rsidRDefault="00030C21" w:rsidP="00030C21">
      <w:pPr>
        <w:spacing w:before="120"/>
        <w:jc w:val="both"/>
        <w:rPr>
          <w:rFonts w:ascii="DecimaWE Rg" w:hAnsi="DecimaWE Rg"/>
          <w:sz w:val="23"/>
          <w:szCs w:val="23"/>
        </w:rPr>
      </w:pPr>
      <w:r w:rsidRPr="00F94268">
        <w:rPr>
          <w:rFonts w:ascii="DecimaWE Rg" w:hAnsi="DecimaWE Rg"/>
          <w:sz w:val="23"/>
          <w:szCs w:val="23"/>
        </w:rPr>
        <w:t>La seguente tabella rappresenta le entrate previste per il triennio 201</w:t>
      </w:r>
      <w:r w:rsidR="00DF381D">
        <w:rPr>
          <w:rFonts w:ascii="DecimaWE Rg" w:hAnsi="DecimaWE Rg"/>
          <w:sz w:val="23"/>
          <w:szCs w:val="23"/>
        </w:rPr>
        <w:t>5</w:t>
      </w:r>
      <w:r w:rsidRPr="00F94268">
        <w:rPr>
          <w:rFonts w:ascii="DecimaWE Rg" w:hAnsi="DecimaWE Rg"/>
          <w:sz w:val="23"/>
          <w:szCs w:val="23"/>
        </w:rPr>
        <w:t>-201</w:t>
      </w:r>
      <w:r w:rsidR="00DF381D">
        <w:rPr>
          <w:rFonts w:ascii="DecimaWE Rg" w:hAnsi="DecimaWE Rg"/>
          <w:sz w:val="23"/>
          <w:szCs w:val="23"/>
        </w:rPr>
        <w:t>7</w:t>
      </w:r>
      <w:r w:rsidRPr="00F94268">
        <w:rPr>
          <w:rFonts w:ascii="DecimaWE Rg" w:hAnsi="DecimaWE Rg"/>
          <w:sz w:val="23"/>
          <w:szCs w:val="23"/>
        </w:rPr>
        <w:t xml:space="preserve"> in milioni di euro, distinte secondo il titolo di entrata e con evidenza dei corrispondenti importi approvati nel bilancio 201</w:t>
      </w:r>
      <w:r w:rsidR="00DF381D">
        <w:rPr>
          <w:rFonts w:ascii="DecimaWE Rg" w:hAnsi="DecimaWE Rg"/>
          <w:sz w:val="23"/>
          <w:szCs w:val="23"/>
        </w:rPr>
        <w:t>4</w:t>
      </w:r>
      <w:r w:rsidRPr="00F94268">
        <w:rPr>
          <w:rFonts w:ascii="DecimaWE Rg" w:hAnsi="DecimaWE Rg"/>
          <w:sz w:val="23"/>
          <w:szCs w:val="23"/>
        </w:rPr>
        <w:t>:</w:t>
      </w:r>
    </w:p>
    <w:p w:rsidR="00DF381D" w:rsidRPr="00F94268" w:rsidRDefault="00DF381D" w:rsidP="00030C21">
      <w:pPr>
        <w:spacing w:before="120"/>
        <w:jc w:val="both"/>
        <w:rPr>
          <w:rFonts w:ascii="DecimaWE Rg" w:hAnsi="DecimaWE Rg"/>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
        <w:gridCol w:w="4310"/>
        <w:gridCol w:w="1074"/>
        <w:gridCol w:w="1070"/>
        <w:gridCol w:w="1019"/>
        <w:gridCol w:w="1070"/>
        <w:gridCol w:w="995"/>
      </w:tblGrid>
      <w:tr w:rsidR="00DF381D" w:rsidRPr="00504BD5" w:rsidTr="00DF381D">
        <w:trPr>
          <w:trHeight w:val="720"/>
        </w:trPr>
        <w:tc>
          <w:tcPr>
            <w:tcW w:w="2327" w:type="pct"/>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DF381D" w:rsidRPr="00504BD5" w:rsidRDefault="00DF381D" w:rsidP="00232369">
            <w:pPr>
              <w:jc w:val="center"/>
              <w:rPr>
                <w:rFonts w:ascii="DecimaWE Rg" w:hAnsi="DecimaWE Rg" w:cs="Arial"/>
                <w:b/>
                <w:bCs/>
                <w:sz w:val="20"/>
                <w:szCs w:val="20"/>
              </w:rPr>
            </w:pPr>
            <w:bookmarkStart w:id="21" w:name="_Toc249952454"/>
            <w:bookmarkStart w:id="22" w:name="_Toc308445911"/>
            <w:bookmarkStart w:id="23" w:name="_Toc308685233"/>
            <w:bookmarkStart w:id="24" w:name="_Toc249952455"/>
            <w:r w:rsidRPr="00504BD5">
              <w:rPr>
                <w:rFonts w:ascii="DecimaWE Rg" w:hAnsi="DecimaWE Rg" w:cs="Arial"/>
                <w:b/>
                <w:bCs/>
                <w:sz w:val="20"/>
                <w:szCs w:val="20"/>
              </w:rPr>
              <w:t>Titolo</w:t>
            </w:r>
          </w:p>
        </w:tc>
        <w:tc>
          <w:tcPr>
            <w:tcW w:w="549" w:type="pct"/>
            <w:tcBorders>
              <w:top w:val="single" w:sz="4" w:space="0" w:color="auto"/>
              <w:left w:val="single" w:sz="4" w:space="0" w:color="auto"/>
              <w:bottom w:val="single" w:sz="4" w:space="0" w:color="auto"/>
              <w:right w:val="single" w:sz="4" w:space="0" w:color="auto"/>
            </w:tcBorders>
            <w:shd w:val="clear" w:color="FFFFFF" w:fill="FFFFFF"/>
            <w:vAlign w:val="center"/>
          </w:tcPr>
          <w:p w:rsidR="00DF381D" w:rsidRPr="00504BD5" w:rsidRDefault="00DF381D" w:rsidP="00232369">
            <w:pPr>
              <w:jc w:val="center"/>
              <w:rPr>
                <w:rFonts w:ascii="DecimaWE Rg" w:hAnsi="DecimaWE Rg" w:cs="Calibri"/>
                <w:b/>
                <w:sz w:val="20"/>
                <w:szCs w:val="20"/>
              </w:rPr>
            </w:pPr>
            <w:r w:rsidRPr="00504BD5">
              <w:rPr>
                <w:rFonts w:ascii="DecimaWE Rg" w:hAnsi="DecimaWE Rg" w:cs="Calibri"/>
                <w:b/>
                <w:sz w:val="20"/>
                <w:szCs w:val="20"/>
              </w:rPr>
              <w:t>2014 (previsione iniziale)</w:t>
            </w:r>
          </w:p>
        </w:tc>
        <w:tc>
          <w:tcPr>
            <w:tcW w:w="547" w:type="pct"/>
            <w:tcBorders>
              <w:top w:val="single" w:sz="4" w:space="0" w:color="auto"/>
              <w:left w:val="single" w:sz="4" w:space="0" w:color="auto"/>
              <w:bottom w:val="single" w:sz="4" w:space="0" w:color="auto"/>
              <w:right w:val="single" w:sz="4" w:space="0" w:color="auto"/>
            </w:tcBorders>
            <w:shd w:val="clear" w:color="FFFFFF" w:fill="FFFFFF"/>
            <w:vAlign w:val="center"/>
          </w:tcPr>
          <w:p w:rsidR="00DF381D" w:rsidRPr="00504BD5" w:rsidRDefault="00DF381D" w:rsidP="00232369">
            <w:pPr>
              <w:jc w:val="center"/>
              <w:rPr>
                <w:rFonts w:ascii="DecimaWE Rg" w:hAnsi="DecimaWE Rg" w:cs="Calibri"/>
                <w:b/>
                <w:sz w:val="20"/>
                <w:szCs w:val="20"/>
              </w:rPr>
            </w:pPr>
            <w:r w:rsidRPr="00504BD5">
              <w:rPr>
                <w:rFonts w:ascii="DecimaWE Rg" w:hAnsi="DecimaWE Rg" w:cs="Calibri"/>
                <w:b/>
                <w:sz w:val="20"/>
                <w:szCs w:val="20"/>
              </w:rPr>
              <w:t>2015</w:t>
            </w:r>
          </w:p>
        </w:tc>
        <w:tc>
          <w:tcPr>
            <w:tcW w:w="521" w:type="pct"/>
            <w:tcBorders>
              <w:top w:val="single" w:sz="4" w:space="0" w:color="auto"/>
              <w:left w:val="single" w:sz="4" w:space="0" w:color="auto"/>
              <w:bottom w:val="single" w:sz="4" w:space="0" w:color="auto"/>
              <w:right w:val="single" w:sz="4" w:space="0" w:color="auto"/>
            </w:tcBorders>
            <w:shd w:val="clear" w:color="FFFFFF" w:fill="C0C0C0"/>
            <w:vAlign w:val="center"/>
          </w:tcPr>
          <w:p w:rsidR="00DF381D" w:rsidRPr="00504BD5" w:rsidRDefault="00DF381D" w:rsidP="00232369">
            <w:pPr>
              <w:jc w:val="center"/>
              <w:rPr>
                <w:rFonts w:ascii="DecimaWE Rg" w:hAnsi="DecimaWE Rg" w:cs="Calibri"/>
                <w:b/>
                <w:sz w:val="20"/>
                <w:szCs w:val="20"/>
              </w:rPr>
            </w:pPr>
            <w:proofErr w:type="spellStart"/>
            <w:r w:rsidRPr="00504BD5">
              <w:rPr>
                <w:rFonts w:ascii="DecimaWE Rg" w:hAnsi="DecimaWE Rg" w:cs="Calibri"/>
                <w:b/>
                <w:sz w:val="20"/>
                <w:szCs w:val="20"/>
              </w:rPr>
              <w:t>diff</w:t>
            </w:r>
            <w:proofErr w:type="spellEnd"/>
            <w:r w:rsidRPr="00504BD5">
              <w:rPr>
                <w:rFonts w:ascii="DecimaWE Rg" w:hAnsi="DecimaWE Rg" w:cs="Calibri"/>
                <w:b/>
                <w:sz w:val="20"/>
                <w:szCs w:val="20"/>
              </w:rPr>
              <w:t>. 2015-2014</w:t>
            </w:r>
          </w:p>
        </w:tc>
        <w:tc>
          <w:tcPr>
            <w:tcW w:w="547" w:type="pct"/>
            <w:tcBorders>
              <w:top w:val="single" w:sz="4" w:space="0" w:color="auto"/>
              <w:left w:val="single" w:sz="4" w:space="0" w:color="auto"/>
              <w:bottom w:val="single" w:sz="4" w:space="0" w:color="auto"/>
              <w:right w:val="single" w:sz="4" w:space="0" w:color="auto"/>
            </w:tcBorders>
            <w:shd w:val="clear" w:color="FFFFFF" w:fill="FFFFFF"/>
            <w:vAlign w:val="center"/>
          </w:tcPr>
          <w:p w:rsidR="00DF381D" w:rsidRPr="00504BD5" w:rsidRDefault="00DF381D" w:rsidP="00232369">
            <w:pPr>
              <w:jc w:val="center"/>
              <w:rPr>
                <w:rFonts w:ascii="DecimaWE Rg" w:hAnsi="DecimaWE Rg" w:cs="Calibri"/>
                <w:b/>
                <w:sz w:val="20"/>
                <w:szCs w:val="20"/>
              </w:rPr>
            </w:pPr>
            <w:r w:rsidRPr="00504BD5">
              <w:rPr>
                <w:rFonts w:ascii="DecimaWE Rg" w:hAnsi="DecimaWE Rg" w:cs="Calibri"/>
                <w:b/>
                <w:sz w:val="20"/>
                <w:szCs w:val="20"/>
              </w:rPr>
              <w:t>2016</w:t>
            </w:r>
          </w:p>
        </w:tc>
        <w:tc>
          <w:tcPr>
            <w:tcW w:w="509" w:type="pct"/>
            <w:tcBorders>
              <w:top w:val="single" w:sz="4" w:space="0" w:color="auto"/>
              <w:left w:val="single" w:sz="4" w:space="0" w:color="auto"/>
              <w:bottom w:val="single" w:sz="4" w:space="0" w:color="auto"/>
              <w:right w:val="single" w:sz="4" w:space="0" w:color="auto"/>
            </w:tcBorders>
            <w:shd w:val="clear" w:color="FFFFFF" w:fill="FFFFFF"/>
            <w:vAlign w:val="center"/>
          </w:tcPr>
          <w:p w:rsidR="00DF381D" w:rsidRPr="00504BD5" w:rsidRDefault="00DF381D" w:rsidP="00232369">
            <w:pPr>
              <w:jc w:val="center"/>
              <w:rPr>
                <w:rFonts w:ascii="DecimaWE Rg" w:hAnsi="DecimaWE Rg" w:cs="Calibri"/>
                <w:b/>
                <w:sz w:val="20"/>
                <w:szCs w:val="20"/>
              </w:rPr>
            </w:pPr>
            <w:r w:rsidRPr="00504BD5">
              <w:rPr>
                <w:rFonts w:ascii="DecimaWE Rg" w:hAnsi="DecimaWE Rg" w:cs="Calibri"/>
                <w:b/>
                <w:sz w:val="20"/>
                <w:szCs w:val="20"/>
              </w:rPr>
              <w:t>2017</w:t>
            </w:r>
          </w:p>
        </w:tc>
      </w:tr>
      <w:tr w:rsidR="00DF381D" w:rsidRPr="00504BD5" w:rsidTr="00232369">
        <w:trPr>
          <w:trHeight w:val="720"/>
        </w:trPr>
        <w:tc>
          <w:tcPr>
            <w:tcW w:w="123" w:type="pct"/>
            <w:shd w:val="clear" w:color="FFFFFF" w:fill="FFFFFF"/>
            <w:noWrap/>
            <w:vAlign w:val="center"/>
          </w:tcPr>
          <w:p w:rsidR="00DF381D" w:rsidRPr="00504BD5" w:rsidRDefault="00DF381D" w:rsidP="00232369">
            <w:pPr>
              <w:jc w:val="center"/>
              <w:rPr>
                <w:rFonts w:ascii="DecimaWE Rg" w:hAnsi="DecimaWE Rg" w:cs="Arial"/>
                <w:sz w:val="20"/>
                <w:szCs w:val="20"/>
              </w:rPr>
            </w:pPr>
            <w:r w:rsidRPr="00504BD5">
              <w:rPr>
                <w:rFonts w:ascii="DecimaWE Rg" w:hAnsi="DecimaWE Rg" w:cs="Arial"/>
                <w:sz w:val="20"/>
                <w:szCs w:val="20"/>
              </w:rPr>
              <w:t>1</w:t>
            </w:r>
          </w:p>
        </w:tc>
        <w:tc>
          <w:tcPr>
            <w:tcW w:w="2204" w:type="pct"/>
            <w:shd w:val="clear" w:color="FFFFFF" w:fill="FFFFFF"/>
            <w:vAlign w:val="center"/>
          </w:tcPr>
          <w:p w:rsidR="00DF381D" w:rsidRPr="00504BD5" w:rsidRDefault="00DF381D" w:rsidP="00232369">
            <w:pPr>
              <w:rPr>
                <w:rFonts w:ascii="DecimaWE Rg" w:hAnsi="DecimaWE Rg" w:cs="Arial"/>
                <w:sz w:val="20"/>
                <w:szCs w:val="20"/>
              </w:rPr>
            </w:pPr>
            <w:r w:rsidRPr="00504BD5">
              <w:rPr>
                <w:rFonts w:ascii="DecimaWE Rg" w:hAnsi="DecimaWE Rg" w:cs="Arial"/>
                <w:sz w:val="20"/>
                <w:szCs w:val="20"/>
              </w:rPr>
              <w:t>Entrate derivanti da tributi propri della regione e dalle compartecipazioni ai tributi erariali</w:t>
            </w:r>
          </w:p>
        </w:tc>
        <w:tc>
          <w:tcPr>
            <w:tcW w:w="54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4.902,47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5.752,70 </w:t>
            </w:r>
          </w:p>
        </w:tc>
        <w:tc>
          <w:tcPr>
            <w:tcW w:w="521" w:type="pct"/>
            <w:shd w:val="clear" w:color="FFFFFF" w:fill="C0C0C0"/>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850,23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5.608,35 </w:t>
            </w:r>
          </w:p>
        </w:tc>
        <w:tc>
          <w:tcPr>
            <w:tcW w:w="50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5.598,35 </w:t>
            </w:r>
          </w:p>
        </w:tc>
      </w:tr>
      <w:tr w:rsidR="00DF381D" w:rsidRPr="00504BD5" w:rsidTr="00232369">
        <w:trPr>
          <w:trHeight w:val="720"/>
        </w:trPr>
        <w:tc>
          <w:tcPr>
            <w:tcW w:w="123" w:type="pct"/>
            <w:shd w:val="clear" w:color="FFFFFF" w:fill="FFFFFF"/>
            <w:noWrap/>
            <w:vAlign w:val="center"/>
          </w:tcPr>
          <w:p w:rsidR="00DF381D" w:rsidRPr="00504BD5" w:rsidRDefault="00DF381D" w:rsidP="00232369">
            <w:pPr>
              <w:jc w:val="center"/>
              <w:rPr>
                <w:rFonts w:ascii="DecimaWE Rg" w:hAnsi="DecimaWE Rg" w:cs="Arial"/>
                <w:sz w:val="20"/>
                <w:szCs w:val="20"/>
              </w:rPr>
            </w:pPr>
            <w:r w:rsidRPr="00504BD5">
              <w:rPr>
                <w:rFonts w:ascii="DecimaWE Rg" w:hAnsi="DecimaWE Rg" w:cs="Arial"/>
                <w:sz w:val="20"/>
                <w:szCs w:val="20"/>
              </w:rPr>
              <w:t>2</w:t>
            </w:r>
          </w:p>
        </w:tc>
        <w:tc>
          <w:tcPr>
            <w:tcW w:w="2204" w:type="pct"/>
            <w:shd w:val="clear" w:color="FFFFFF" w:fill="FFFFFF"/>
            <w:vAlign w:val="center"/>
          </w:tcPr>
          <w:p w:rsidR="00DF381D" w:rsidRPr="00504BD5" w:rsidRDefault="00DF381D" w:rsidP="00232369">
            <w:pPr>
              <w:rPr>
                <w:rFonts w:ascii="DecimaWE Rg" w:hAnsi="DecimaWE Rg" w:cs="Arial"/>
                <w:sz w:val="20"/>
                <w:szCs w:val="20"/>
              </w:rPr>
            </w:pPr>
            <w:r w:rsidRPr="00504BD5">
              <w:rPr>
                <w:rFonts w:ascii="DecimaWE Rg" w:hAnsi="DecimaWE Rg" w:cs="Arial"/>
                <w:sz w:val="20"/>
                <w:szCs w:val="20"/>
              </w:rPr>
              <w:t>Entrate derivanti da trasferimenti di parte corrente dello stato dell'unione europea e di altri soggetti</w:t>
            </w:r>
          </w:p>
        </w:tc>
        <w:tc>
          <w:tcPr>
            <w:tcW w:w="54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90,49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87,36 </w:t>
            </w:r>
          </w:p>
        </w:tc>
        <w:tc>
          <w:tcPr>
            <w:tcW w:w="521" w:type="pct"/>
            <w:shd w:val="clear" w:color="FFFFFF" w:fill="C0C0C0"/>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3,12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84,32 </w:t>
            </w:r>
          </w:p>
        </w:tc>
        <w:tc>
          <w:tcPr>
            <w:tcW w:w="50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84,32 </w:t>
            </w:r>
          </w:p>
        </w:tc>
      </w:tr>
      <w:tr w:rsidR="00DF381D" w:rsidRPr="00504BD5" w:rsidTr="00232369">
        <w:trPr>
          <w:trHeight w:val="720"/>
        </w:trPr>
        <w:tc>
          <w:tcPr>
            <w:tcW w:w="123" w:type="pct"/>
            <w:shd w:val="clear" w:color="FFFFFF" w:fill="FFFFFF"/>
            <w:noWrap/>
            <w:vAlign w:val="center"/>
          </w:tcPr>
          <w:p w:rsidR="00DF381D" w:rsidRPr="00504BD5" w:rsidRDefault="00DF381D" w:rsidP="00232369">
            <w:pPr>
              <w:jc w:val="center"/>
              <w:rPr>
                <w:rFonts w:ascii="DecimaWE Rg" w:hAnsi="DecimaWE Rg" w:cs="Arial"/>
                <w:sz w:val="20"/>
                <w:szCs w:val="20"/>
              </w:rPr>
            </w:pPr>
            <w:r w:rsidRPr="00504BD5">
              <w:rPr>
                <w:rFonts w:ascii="DecimaWE Rg" w:hAnsi="DecimaWE Rg" w:cs="Arial"/>
                <w:sz w:val="20"/>
                <w:szCs w:val="20"/>
              </w:rPr>
              <w:t>3</w:t>
            </w:r>
          </w:p>
        </w:tc>
        <w:tc>
          <w:tcPr>
            <w:tcW w:w="2204" w:type="pct"/>
            <w:shd w:val="clear" w:color="FFFFFF" w:fill="FFFFFF"/>
            <w:vAlign w:val="center"/>
          </w:tcPr>
          <w:p w:rsidR="00DF381D" w:rsidRPr="00504BD5" w:rsidRDefault="00DF381D" w:rsidP="00232369">
            <w:pPr>
              <w:rPr>
                <w:rFonts w:ascii="DecimaWE Rg" w:hAnsi="DecimaWE Rg" w:cs="Arial"/>
                <w:sz w:val="20"/>
                <w:szCs w:val="20"/>
              </w:rPr>
            </w:pPr>
            <w:r w:rsidRPr="00504BD5">
              <w:rPr>
                <w:rFonts w:ascii="DecimaWE Rg" w:hAnsi="DecimaWE Rg" w:cs="Arial"/>
                <w:sz w:val="20"/>
                <w:szCs w:val="20"/>
              </w:rPr>
              <w:t xml:space="preserve">Entrate </w:t>
            </w:r>
            <w:proofErr w:type="spellStart"/>
            <w:r w:rsidRPr="00504BD5">
              <w:rPr>
                <w:rFonts w:ascii="DecimaWE Rg" w:hAnsi="DecimaWE Rg" w:cs="Arial"/>
                <w:sz w:val="20"/>
                <w:szCs w:val="20"/>
              </w:rPr>
              <w:t>extratributarie</w:t>
            </w:r>
            <w:proofErr w:type="spellEnd"/>
          </w:p>
        </w:tc>
        <w:tc>
          <w:tcPr>
            <w:tcW w:w="54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59,83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67,67 </w:t>
            </w:r>
          </w:p>
        </w:tc>
        <w:tc>
          <w:tcPr>
            <w:tcW w:w="521" w:type="pct"/>
            <w:shd w:val="clear" w:color="FFFFFF" w:fill="C0C0C0"/>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7,84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38,33 </w:t>
            </w:r>
          </w:p>
        </w:tc>
        <w:tc>
          <w:tcPr>
            <w:tcW w:w="50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38,33 </w:t>
            </w:r>
          </w:p>
        </w:tc>
      </w:tr>
      <w:tr w:rsidR="00DF381D" w:rsidRPr="00504BD5" w:rsidTr="00232369">
        <w:trPr>
          <w:trHeight w:val="720"/>
        </w:trPr>
        <w:tc>
          <w:tcPr>
            <w:tcW w:w="123" w:type="pct"/>
            <w:shd w:val="clear" w:color="FFFFFF" w:fill="FFFFFF"/>
            <w:noWrap/>
            <w:vAlign w:val="center"/>
          </w:tcPr>
          <w:p w:rsidR="00DF381D" w:rsidRPr="00504BD5" w:rsidRDefault="00DF381D" w:rsidP="00232369">
            <w:pPr>
              <w:jc w:val="center"/>
              <w:rPr>
                <w:rFonts w:ascii="DecimaWE Rg" w:hAnsi="DecimaWE Rg" w:cs="Arial"/>
                <w:sz w:val="20"/>
                <w:szCs w:val="20"/>
              </w:rPr>
            </w:pPr>
            <w:r w:rsidRPr="00504BD5">
              <w:rPr>
                <w:rFonts w:ascii="DecimaWE Rg" w:hAnsi="DecimaWE Rg" w:cs="Arial"/>
                <w:sz w:val="20"/>
                <w:szCs w:val="20"/>
              </w:rPr>
              <w:t>4</w:t>
            </w:r>
          </w:p>
        </w:tc>
        <w:tc>
          <w:tcPr>
            <w:tcW w:w="2204" w:type="pct"/>
            <w:shd w:val="clear" w:color="FFFFFF" w:fill="FFFFFF"/>
            <w:vAlign w:val="center"/>
          </w:tcPr>
          <w:p w:rsidR="00DF381D" w:rsidRPr="00504BD5" w:rsidRDefault="00DF381D" w:rsidP="00232369">
            <w:pPr>
              <w:rPr>
                <w:rFonts w:ascii="DecimaWE Rg" w:hAnsi="DecimaWE Rg" w:cs="Arial"/>
                <w:sz w:val="20"/>
                <w:szCs w:val="20"/>
              </w:rPr>
            </w:pPr>
            <w:r w:rsidRPr="00504BD5">
              <w:rPr>
                <w:rFonts w:ascii="DecimaWE Rg" w:hAnsi="DecimaWE Rg" w:cs="Arial"/>
                <w:sz w:val="20"/>
                <w:szCs w:val="20"/>
              </w:rPr>
              <w:t>Entrate derivanti da alienazioni, da trasformazione di capitale, da riscossione di crediti e da trasferimenti in conto capitale</w:t>
            </w:r>
          </w:p>
        </w:tc>
        <w:tc>
          <w:tcPr>
            <w:tcW w:w="54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73,44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739,83 </w:t>
            </w:r>
          </w:p>
        </w:tc>
        <w:tc>
          <w:tcPr>
            <w:tcW w:w="521" w:type="pct"/>
            <w:shd w:val="clear" w:color="FFFFFF" w:fill="C0C0C0"/>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666,39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698,23 </w:t>
            </w:r>
          </w:p>
        </w:tc>
        <w:tc>
          <w:tcPr>
            <w:tcW w:w="50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695,26 </w:t>
            </w:r>
          </w:p>
        </w:tc>
      </w:tr>
      <w:tr w:rsidR="00DF381D" w:rsidRPr="00504BD5" w:rsidTr="00232369">
        <w:trPr>
          <w:trHeight w:val="720"/>
        </w:trPr>
        <w:tc>
          <w:tcPr>
            <w:tcW w:w="123" w:type="pct"/>
            <w:shd w:val="clear" w:color="FFFFFF" w:fill="FFFFFF"/>
            <w:noWrap/>
            <w:vAlign w:val="center"/>
          </w:tcPr>
          <w:p w:rsidR="00DF381D" w:rsidRPr="00504BD5" w:rsidRDefault="00DF381D" w:rsidP="00232369">
            <w:pPr>
              <w:jc w:val="center"/>
              <w:rPr>
                <w:rFonts w:ascii="DecimaWE Rg" w:hAnsi="DecimaWE Rg" w:cs="Arial"/>
                <w:sz w:val="20"/>
                <w:szCs w:val="20"/>
              </w:rPr>
            </w:pPr>
            <w:r w:rsidRPr="00504BD5">
              <w:rPr>
                <w:rFonts w:ascii="DecimaWE Rg" w:hAnsi="DecimaWE Rg" w:cs="Arial"/>
                <w:sz w:val="20"/>
                <w:szCs w:val="20"/>
              </w:rPr>
              <w:t>5</w:t>
            </w:r>
          </w:p>
        </w:tc>
        <w:tc>
          <w:tcPr>
            <w:tcW w:w="2204" w:type="pct"/>
            <w:shd w:val="clear" w:color="FFFFFF" w:fill="FFFFFF"/>
            <w:vAlign w:val="center"/>
          </w:tcPr>
          <w:p w:rsidR="00DF381D" w:rsidRPr="00504BD5" w:rsidRDefault="00DF381D" w:rsidP="00232369">
            <w:pPr>
              <w:rPr>
                <w:rFonts w:ascii="DecimaWE Rg" w:hAnsi="DecimaWE Rg" w:cs="Arial"/>
                <w:sz w:val="20"/>
                <w:szCs w:val="20"/>
              </w:rPr>
            </w:pPr>
            <w:r w:rsidRPr="00504BD5">
              <w:rPr>
                <w:rFonts w:ascii="DecimaWE Rg" w:hAnsi="DecimaWE Rg" w:cs="Arial"/>
                <w:sz w:val="20"/>
                <w:szCs w:val="20"/>
              </w:rPr>
              <w:t>Entrate derivanti da mutui, prestiti o altre operazioni creditizie</w:t>
            </w:r>
          </w:p>
        </w:tc>
        <w:tc>
          <w:tcPr>
            <w:tcW w:w="54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28,10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20,03 </w:t>
            </w:r>
          </w:p>
        </w:tc>
        <w:tc>
          <w:tcPr>
            <w:tcW w:w="521" w:type="pct"/>
            <w:shd w:val="clear" w:color="FFFFFF" w:fill="C0C0C0"/>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8,07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   </w:t>
            </w:r>
          </w:p>
        </w:tc>
        <w:tc>
          <w:tcPr>
            <w:tcW w:w="50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   </w:t>
            </w:r>
          </w:p>
        </w:tc>
      </w:tr>
      <w:tr w:rsidR="00DF381D" w:rsidRPr="00504BD5" w:rsidTr="00232369">
        <w:trPr>
          <w:trHeight w:val="720"/>
        </w:trPr>
        <w:tc>
          <w:tcPr>
            <w:tcW w:w="123" w:type="pct"/>
            <w:shd w:val="clear" w:color="FFFFFF" w:fill="FFFFFF"/>
            <w:noWrap/>
            <w:vAlign w:val="center"/>
          </w:tcPr>
          <w:p w:rsidR="00DF381D" w:rsidRPr="00504BD5" w:rsidRDefault="00DF381D" w:rsidP="00232369">
            <w:pPr>
              <w:jc w:val="center"/>
              <w:rPr>
                <w:rFonts w:ascii="DecimaWE Rg" w:hAnsi="DecimaWE Rg" w:cs="Arial"/>
                <w:sz w:val="20"/>
                <w:szCs w:val="20"/>
              </w:rPr>
            </w:pPr>
            <w:r w:rsidRPr="00504BD5">
              <w:rPr>
                <w:rFonts w:ascii="DecimaWE Rg" w:hAnsi="DecimaWE Rg" w:cs="Arial"/>
                <w:sz w:val="20"/>
                <w:szCs w:val="20"/>
              </w:rPr>
              <w:t>6</w:t>
            </w:r>
          </w:p>
        </w:tc>
        <w:tc>
          <w:tcPr>
            <w:tcW w:w="2204" w:type="pct"/>
            <w:shd w:val="clear" w:color="FFFFFF" w:fill="FFFFFF"/>
            <w:vAlign w:val="center"/>
          </w:tcPr>
          <w:p w:rsidR="00DF381D" w:rsidRPr="00504BD5" w:rsidRDefault="00DF381D" w:rsidP="00232369">
            <w:pPr>
              <w:rPr>
                <w:rFonts w:ascii="DecimaWE Rg" w:hAnsi="DecimaWE Rg" w:cs="Arial"/>
                <w:sz w:val="20"/>
                <w:szCs w:val="20"/>
              </w:rPr>
            </w:pPr>
            <w:r w:rsidRPr="00504BD5">
              <w:rPr>
                <w:rFonts w:ascii="DecimaWE Rg" w:hAnsi="DecimaWE Rg" w:cs="Arial"/>
                <w:sz w:val="20"/>
                <w:szCs w:val="20"/>
              </w:rPr>
              <w:t>Entrate per partite di giro</w:t>
            </w:r>
          </w:p>
        </w:tc>
        <w:tc>
          <w:tcPr>
            <w:tcW w:w="54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1.559,69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113,62 </w:t>
            </w:r>
          </w:p>
        </w:tc>
        <w:tc>
          <w:tcPr>
            <w:tcW w:w="521" w:type="pct"/>
            <w:shd w:val="clear" w:color="FFFFFF" w:fill="C0C0C0"/>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- 1.446,07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113,12 </w:t>
            </w:r>
          </w:p>
        </w:tc>
        <w:tc>
          <w:tcPr>
            <w:tcW w:w="50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113,12 </w:t>
            </w:r>
          </w:p>
        </w:tc>
      </w:tr>
      <w:tr w:rsidR="00DF381D" w:rsidRPr="00504BD5" w:rsidTr="00232369">
        <w:trPr>
          <w:trHeight w:val="720"/>
        </w:trPr>
        <w:tc>
          <w:tcPr>
            <w:tcW w:w="123" w:type="pct"/>
            <w:shd w:val="clear" w:color="FFFFFF" w:fill="FFFFFF"/>
            <w:noWrap/>
            <w:vAlign w:val="center"/>
          </w:tcPr>
          <w:p w:rsidR="00DF381D" w:rsidRPr="00504BD5" w:rsidRDefault="00DF381D" w:rsidP="00232369">
            <w:pPr>
              <w:jc w:val="center"/>
              <w:rPr>
                <w:rFonts w:ascii="DecimaWE Rg" w:hAnsi="DecimaWE Rg" w:cs="Arial"/>
                <w:sz w:val="20"/>
                <w:szCs w:val="20"/>
              </w:rPr>
            </w:pPr>
            <w:r w:rsidRPr="00504BD5">
              <w:rPr>
                <w:rFonts w:ascii="DecimaWE Rg" w:hAnsi="DecimaWE Rg" w:cs="Arial"/>
                <w:sz w:val="20"/>
                <w:szCs w:val="20"/>
              </w:rPr>
              <w:lastRenderedPageBreak/>
              <w:t> </w:t>
            </w:r>
          </w:p>
        </w:tc>
        <w:tc>
          <w:tcPr>
            <w:tcW w:w="2204" w:type="pct"/>
            <w:shd w:val="clear" w:color="FFFFFF" w:fill="FFFFFF"/>
            <w:vAlign w:val="center"/>
          </w:tcPr>
          <w:p w:rsidR="00DF381D" w:rsidRPr="00504BD5" w:rsidRDefault="00DF381D" w:rsidP="00232369">
            <w:pPr>
              <w:rPr>
                <w:rFonts w:ascii="DecimaWE Rg" w:hAnsi="DecimaWE Rg" w:cs="Arial"/>
                <w:sz w:val="20"/>
                <w:szCs w:val="20"/>
              </w:rPr>
            </w:pPr>
            <w:r w:rsidRPr="00504BD5">
              <w:rPr>
                <w:rFonts w:ascii="DecimaWE Rg" w:hAnsi="DecimaWE Rg" w:cs="Arial"/>
                <w:sz w:val="20"/>
                <w:szCs w:val="20"/>
              </w:rPr>
              <w:t>Avanzo presunto</w:t>
            </w:r>
          </w:p>
        </w:tc>
        <w:tc>
          <w:tcPr>
            <w:tcW w:w="54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0,83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2,26 </w:t>
            </w:r>
          </w:p>
        </w:tc>
        <w:tc>
          <w:tcPr>
            <w:tcW w:w="521" w:type="pct"/>
            <w:shd w:val="clear" w:color="FFFFFF" w:fill="C0C0C0"/>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1,44 </w:t>
            </w:r>
          </w:p>
        </w:tc>
        <w:tc>
          <w:tcPr>
            <w:tcW w:w="547"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   </w:t>
            </w:r>
          </w:p>
        </w:tc>
        <w:tc>
          <w:tcPr>
            <w:tcW w:w="509" w:type="pct"/>
            <w:shd w:val="clear" w:color="FFFFFF" w:fill="FFFFFF"/>
            <w:vAlign w:val="bottom"/>
          </w:tcPr>
          <w:p w:rsidR="00DF381D" w:rsidRPr="007F3D53" w:rsidRDefault="00DF381D" w:rsidP="00232369">
            <w:pPr>
              <w:jc w:val="right"/>
              <w:rPr>
                <w:rFonts w:ascii="DecimaWE Rg" w:hAnsi="DecimaWE Rg"/>
                <w:color w:val="000000"/>
                <w:sz w:val="20"/>
                <w:szCs w:val="20"/>
              </w:rPr>
            </w:pPr>
            <w:r w:rsidRPr="007F3D53">
              <w:rPr>
                <w:rFonts w:ascii="DecimaWE Rg" w:hAnsi="DecimaWE Rg"/>
                <w:color w:val="000000"/>
                <w:sz w:val="20"/>
                <w:szCs w:val="20"/>
              </w:rPr>
              <w:t xml:space="preserve">                -   </w:t>
            </w:r>
          </w:p>
        </w:tc>
      </w:tr>
      <w:tr w:rsidR="00DF381D" w:rsidRPr="00504BD5" w:rsidTr="00232369">
        <w:trPr>
          <w:trHeight w:val="477"/>
        </w:trPr>
        <w:tc>
          <w:tcPr>
            <w:tcW w:w="2327" w:type="pct"/>
            <w:gridSpan w:val="2"/>
            <w:shd w:val="clear" w:color="FFFFFF" w:fill="FFFFFF"/>
            <w:noWrap/>
            <w:vAlign w:val="center"/>
          </w:tcPr>
          <w:p w:rsidR="00DF381D" w:rsidRPr="00504BD5" w:rsidRDefault="00DF381D" w:rsidP="00232369">
            <w:pPr>
              <w:jc w:val="center"/>
              <w:rPr>
                <w:rFonts w:ascii="DecimaWE Rg" w:hAnsi="DecimaWE Rg" w:cs="Arial"/>
                <w:b/>
                <w:bCs/>
                <w:sz w:val="20"/>
                <w:szCs w:val="20"/>
              </w:rPr>
            </w:pPr>
            <w:r w:rsidRPr="00504BD5">
              <w:rPr>
                <w:rFonts w:ascii="DecimaWE Rg" w:hAnsi="DecimaWE Rg" w:cs="Arial"/>
                <w:b/>
                <w:bCs/>
                <w:sz w:val="20"/>
                <w:szCs w:val="20"/>
              </w:rPr>
              <w:t>Totale</w:t>
            </w:r>
          </w:p>
        </w:tc>
        <w:tc>
          <w:tcPr>
            <w:tcW w:w="549" w:type="pct"/>
            <w:shd w:val="clear" w:color="FFFFFF" w:fill="FFFFFF"/>
            <w:noWrap/>
            <w:vAlign w:val="bottom"/>
          </w:tcPr>
          <w:p w:rsidR="00DF381D" w:rsidRPr="007F3D53" w:rsidRDefault="00DF381D" w:rsidP="00232369">
            <w:pPr>
              <w:jc w:val="right"/>
              <w:rPr>
                <w:rFonts w:ascii="DecimaWE Rg" w:hAnsi="DecimaWE Rg"/>
                <w:b/>
                <w:color w:val="000000"/>
                <w:sz w:val="20"/>
                <w:szCs w:val="22"/>
              </w:rPr>
            </w:pPr>
            <w:r w:rsidRPr="007F3D53">
              <w:rPr>
                <w:rFonts w:ascii="DecimaWE Rg" w:hAnsi="DecimaWE Rg"/>
                <w:b/>
                <w:color w:val="000000"/>
                <w:sz w:val="20"/>
                <w:szCs w:val="22"/>
              </w:rPr>
              <w:t>6.714,85</w:t>
            </w:r>
          </w:p>
        </w:tc>
        <w:tc>
          <w:tcPr>
            <w:tcW w:w="547" w:type="pct"/>
            <w:shd w:val="clear" w:color="FFFFFF" w:fill="FFFFFF"/>
            <w:noWrap/>
            <w:vAlign w:val="bottom"/>
          </w:tcPr>
          <w:p w:rsidR="00DF381D" w:rsidRPr="007F3D53" w:rsidRDefault="00DF381D" w:rsidP="00232369">
            <w:pPr>
              <w:jc w:val="right"/>
              <w:rPr>
                <w:rFonts w:ascii="DecimaWE Rg" w:hAnsi="DecimaWE Rg"/>
                <w:b/>
                <w:color w:val="000000"/>
                <w:sz w:val="20"/>
                <w:szCs w:val="22"/>
              </w:rPr>
            </w:pPr>
            <w:r w:rsidRPr="007F3D53">
              <w:rPr>
                <w:rFonts w:ascii="DecimaWE Rg" w:hAnsi="DecimaWE Rg"/>
                <w:b/>
                <w:color w:val="000000"/>
                <w:sz w:val="20"/>
                <w:szCs w:val="22"/>
              </w:rPr>
              <w:t>6.783,48</w:t>
            </w:r>
          </w:p>
        </w:tc>
        <w:tc>
          <w:tcPr>
            <w:tcW w:w="521" w:type="pct"/>
            <w:shd w:val="clear" w:color="FFFFFF" w:fill="C0C0C0"/>
            <w:noWrap/>
            <w:vAlign w:val="bottom"/>
          </w:tcPr>
          <w:p w:rsidR="00DF381D" w:rsidRPr="007F3D53" w:rsidRDefault="00DF381D" w:rsidP="00232369">
            <w:pPr>
              <w:jc w:val="right"/>
              <w:rPr>
                <w:rFonts w:ascii="DecimaWE Rg" w:hAnsi="DecimaWE Rg"/>
                <w:b/>
                <w:color w:val="000000"/>
                <w:sz w:val="20"/>
                <w:szCs w:val="22"/>
              </w:rPr>
            </w:pPr>
            <w:r w:rsidRPr="007F3D53">
              <w:rPr>
                <w:rFonts w:ascii="DecimaWE Rg" w:hAnsi="DecimaWE Rg"/>
                <w:b/>
                <w:color w:val="000000"/>
                <w:sz w:val="20"/>
                <w:szCs w:val="22"/>
              </w:rPr>
              <w:t>68,64</w:t>
            </w:r>
          </w:p>
        </w:tc>
        <w:tc>
          <w:tcPr>
            <w:tcW w:w="547" w:type="pct"/>
            <w:shd w:val="clear" w:color="FFFFFF" w:fill="FFFFFF"/>
            <w:noWrap/>
            <w:vAlign w:val="bottom"/>
          </w:tcPr>
          <w:p w:rsidR="00DF381D" w:rsidRPr="007F3D53" w:rsidRDefault="00DF381D" w:rsidP="00232369">
            <w:pPr>
              <w:jc w:val="right"/>
              <w:rPr>
                <w:rFonts w:ascii="DecimaWE Rg" w:hAnsi="DecimaWE Rg"/>
                <w:b/>
                <w:color w:val="000000"/>
                <w:sz w:val="20"/>
                <w:szCs w:val="22"/>
              </w:rPr>
            </w:pPr>
            <w:r w:rsidRPr="007F3D53">
              <w:rPr>
                <w:rFonts w:ascii="DecimaWE Rg" w:hAnsi="DecimaWE Rg"/>
                <w:b/>
                <w:color w:val="000000"/>
                <w:sz w:val="20"/>
                <w:szCs w:val="22"/>
              </w:rPr>
              <w:t>6.542,35</w:t>
            </w:r>
          </w:p>
        </w:tc>
        <w:tc>
          <w:tcPr>
            <w:tcW w:w="509" w:type="pct"/>
            <w:shd w:val="clear" w:color="FFFFFF" w:fill="FFFFFF"/>
            <w:noWrap/>
            <w:vAlign w:val="bottom"/>
          </w:tcPr>
          <w:p w:rsidR="00DF381D" w:rsidRPr="007F3D53" w:rsidRDefault="00DF381D" w:rsidP="00232369">
            <w:pPr>
              <w:jc w:val="right"/>
              <w:rPr>
                <w:rFonts w:ascii="DecimaWE Rg" w:hAnsi="DecimaWE Rg"/>
                <w:b/>
                <w:color w:val="000000"/>
                <w:sz w:val="20"/>
                <w:szCs w:val="22"/>
              </w:rPr>
            </w:pPr>
            <w:r w:rsidRPr="007F3D53">
              <w:rPr>
                <w:rFonts w:ascii="DecimaWE Rg" w:hAnsi="DecimaWE Rg"/>
                <w:b/>
                <w:color w:val="000000"/>
                <w:sz w:val="20"/>
                <w:szCs w:val="22"/>
              </w:rPr>
              <w:t>6.529,38</w:t>
            </w:r>
          </w:p>
        </w:tc>
      </w:tr>
    </w:tbl>
    <w:p w:rsidR="00030C21" w:rsidRPr="00F94268" w:rsidRDefault="00030C21" w:rsidP="00030C21">
      <w:pPr>
        <w:rPr>
          <w:rFonts w:ascii="DecimaWE Rg" w:hAnsi="DecimaWE Rg"/>
        </w:rPr>
      </w:pPr>
    </w:p>
    <w:p w:rsidR="00DF381D" w:rsidRPr="00962E36" w:rsidRDefault="00DF381D" w:rsidP="00DF381D">
      <w:pPr>
        <w:pStyle w:val="Titolo3"/>
        <w:jc w:val="both"/>
        <w:rPr>
          <w:rFonts w:ascii="DecimaWE Rg" w:hAnsi="DecimaWE Rg"/>
        </w:rPr>
      </w:pPr>
      <w:bookmarkStart w:id="25" w:name="_Toc371432093"/>
      <w:bookmarkStart w:id="26" w:name="_Toc375578722"/>
      <w:bookmarkStart w:id="27" w:name="_Ref340485711"/>
      <w:bookmarkStart w:id="28" w:name="_Toc371432094"/>
      <w:bookmarkEnd w:id="21"/>
      <w:bookmarkEnd w:id="22"/>
      <w:bookmarkEnd w:id="23"/>
      <w:r w:rsidRPr="00962E36">
        <w:rPr>
          <w:rFonts w:ascii="DecimaWE Rg" w:hAnsi="DecimaWE Rg"/>
        </w:rPr>
        <w:t>Titolo 1 - Entrate derivanti da tributi propri della Regione e dalle compartecipazioni ai tributi erariali</w:t>
      </w:r>
      <w:bookmarkEnd w:id="25"/>
      <w:bookmarkEnd w:id="26"/>
    </w:p>
    <w:p w:rsidR="00DF381D" w:rsidRPr="00962E36" w:rsidRDefault="00DF381D" w:rsidP="00DF381D">
      <w:pPr>
        <w:rPr>
          <w:rFonts w:ascii="DecimaWE Rg" w:hAnsi="DecimaWE Rg"/>
          <w:color w:val="548DD4"/>
        </w:rPr>
      </w:pPr>
    </w:p>
    <w:p w:rsidR="00DF381D" w:rsidRPr="00962E36" w:rsidRDefault="00DF381D" w:rsidP="00DF381D">
      <w:pPr>
        <w:spacing w:before="120"/>
        <w:jc w:val="both"/>
        <w:rPr>
          <w:rFonts w:ascii="DecimaWE Rg" w:hAnsi="DecimaWE Rg"/>
          <w:sz w:val="23"/>
          <w:szCs w:val="23"/>
        </w:rPr>
      </w:pPr>
      <w:r w:rsidRPr="00962E36">
        <w:rPr>
          <w:rFonts w:ascii="DecimaWE Rg" w:hAnsi="DecimaWE Rg"/>
          <w:sz w:val="23"/>
          <w:szCs w:val="23"/>
        </w:rPr>
        <w:t>Le entrate del ti</w:t>
      </w:r>
      <w:r>
        <w:rPr>
          <w:rFonts w:ascii="DecimaWE Rg" w:hAnsi="DecimaWE Rg"/>
          <w:sz w:val="23"/>
          <w:szCs w:val="23"/>
        </w:rPr>
        <w:t>tolo primo, previste per il 2015 in 5.752,70</w:t>
      </w:r>
      <w:r w:rsidRPr="00962E36">
        <w:rPr>
          <w:rFonts w:ascii="DecimaWE Rg" w:hAnsi="DecimaWE Rg"/>
          <w:sz w:val="23"/>
          <w:szCs w:val="23"/>
        </w:rPr>
        <w:t xml:space="preserve"> milioni di euro, sono superiori di </w:t>
      </w:r>
      <w:r>
        <w:rPr>
          <w:rFonts w:ascii="DecimaWE Rg" w:hAnsi="DecimaWE Rg"/>
          <w:sz w:val="23"/>
          <w:szCs w:val="23"/>
        </w:rPr>
        <w:t>850,23</w:t>
      </w:r>
      <w:r w:rsidRPr="00962E36">
        <w:rPr>
          <w:rFonts w:ascii="DecimaWE Rg" w:hAnsi="DecimaWE Rg"/>
          <w:sz w:val="23"/>
          <w:szCs w:val="23"/>
        </w:rPr>
        <w:t xml:space="preserve"> milioni di euro rispetto al corrispon</w:t>
      </w:r>
      <w:r>
        <w:rPr>
          <w:rFonts w:ascii="DecimaWE Rg" w:hAnsi="DecimaWE Rg"/>
          <w:sz w:val="23"/>
          <w:szCs w:val="23"/>
        </w:rPr>
        <w:t>dente importo stanziato nel 2014</w:t>
      </w:r>
      <w:r w:rsidRPr="00962E36">
        <w:rPr>
          <w:rFonts w:ascii="DecimaWE Rg" w:hAnsi="DecimaWE Rg"/>
          <w:sz w:val="23"/>
          <w:szCs w:val="23"/>
        </w:rPr>
        <w:t>.</w:t>
      </w:r>
    </w:p>
    <w:p w:rsidR="00DF381D" w:rsidRDefault="00DF381D" w:rsidP="00DF381D">
      <w:pPr>
        <w:spacing w:before="120"/>
        <w:jc w:val="both"/>
        <w:rPr>
          <w:rFonts w:ascii="DecimaWE Rg" w:hAnsi="DecimaWE Rg"/>
          <w:sz w:val="23"/>
          <w:szCs w:val="23"/>
        </w:rPr>
      </w:pPr>
      <w:r>
        <w:rPr>
          <w:rFonts w:ascii="DecimaWE Rg" w:hAnsi="DecimaWE Rg"/>
          <w:sz w:val="23"/>
          <w:szCs w:val="23"/>
        </w:rPr>
        <w:t>Tale dato differenziale, tuttavia, risulta poco significativo se si considera che con il bilancio di previsione 2015, come è già stato anticipato, sono mutati i criteri di contabilizzazione delle misure di concorso alla finanza pubblica, di modo che i valori in raffronto  (e cioè i totali del titolo 1) non si riferiscono ad aggregati tra loro</w:t>
      </w:r>
      <w:r w:rsidRPr="003E3FCE">
        <w:rPr>
          <w:rFonts w:ascii="DecimaWE Rg" w:hAnsi="DecimaWE Rg"/>
          <w:sz w:val="23"/>
          <w:szCs w:val="23"/>
        </w:rPr>
        <w:t xml:space="preserve"> </w:t>
      </w:r>
      <w:r>
        <w:rPr>
          <w:rFonts w:ascii="DecimaWE Rg" w:hAnsi="DecimaWE Rg"/>
          <w:sz w:val="23"/>
          <w:szCs w:val="23"/>
        </w:rPr>
        <w:t xml:space="preserve">omogenei. </w:t>
      </w:r>
      <w:r w:rsidRPr="00504BD5">
        <w:rPr>
          <w:rFonts w:ascii="DecimaWE Rg" w:hAnsi="DecimaWE Rg"/>
          <w:sz w:val="23"/>
          <w:szCs w:val="23"/>
        </w:rPr>
        <w:t>Ripristinata l’omogeneità</w:t>
      </w:r>
      <w:r>
        <w:rPr>
          <w:rFonts w:ascii="DecimaWE Rg" w:hAnsi="DecimaWE Rg"/>
          <w:sz w:val="23"/>
          <w:szCs w:val="23"/>
        </w:rPr>
        <w:t xml:space="preserve"> tra i criteri di classificazione</w:t>
      </w:r>
      <w:r w:rsidRPr="00504BD5">
        <w:rPr>
          <w:rFonts w:ascii="DecimaWE Rg" w:hAnsi="DecimaWE Rg"/>
          <w:sz w:val="23"/>
          <w:szCs w:val="23"/>
        </w:rPr>
        <w:t xml:space="preserve">, i valori da confrontare sono 5.692,35 milioni per il 2014 e 5.752,70 per il 2015: la variazione tra i due dati è di appena </w:t>
      </w:r>
      <w:r w:rsidRPr="00504BD5">
        <w:rPr>
          <w:rFonts w:ascii="DecimaWE Rg" w:hAnsi="DecimaWE Rg"/>
          <w:b/>
          <w:sz w:val="23"/>
          <w:szCs w:val="23"/>
        </w:rPr>
        <w:t>60,35 milioni di euro</w:t>
      </w:r>
      <w:r w:rsidRPr="00504BD5">
        <w:rPr>
          <w:rFonts w:ascii="DecimaWE Rg" w:hAnsi="DecimaWE Rg"/>
          <w:sz w:val="23"/>
          <w:szCs w:val="23"/>
        </w:rPr>
        <w:t>, rappresentando dunque i due esercizi finanziari una sostanziale continuità dal punto di vista del gettito ascrivibile al complesso delle entrate tributarie.</w:t>
      </w:r>
    </w:p>
    <w:p w:rsidR="00474A50" w:rsidRPr="00504BD5" w:rsidRDefault="00474A50" w:rsidP="00DF381D">
      <w:pPr>
        <w:spacing w:before="120"/>
        <w:jc w:val="both"/>
        <w:rPr>
          <w:rFonts w:ascii="DecimaWE Rg" w:hAnsi="DecimaWE Rg"/>
          <w:sz w:val="23"/>
          <w:szCs w:val="23"/>
        </w:rPr>
      </w:pPr>
    </w:p>
    <w:p w:rsidR="00030C21" w:rsidRPr="00474A50" w:rsidRDefault="004223AE" w:rsidP="00030C21">
      <w:pPr>
        <w:spacing w:before="120"/>
        <w:jc w:val="both"/>
        <w:rPr>
          <w:rFonts w:ascii="DecimaWE Rg" w:hAnsi="DecimaWE Rg"/>
          <w:sz w:val="23"/>
          <w:szCs w:val="23"/>
        </w:rPr>
      </w:pPr>
      <w:r w:rsidRPr="00474A50">
        <w:rPr>
          <w:rFonts w:ascii="DecimaWE Rg" w:hAnsi="DecimaWE Rg"/>
          <w:sz w:val="23"/>
          <w:szCs w:val="23"/>
        </w:rPr>
        <w:t>La composizione delle entrate tributarie nel bilancio 201</w:t>
      </w:r>
      <w:r w:rsidR="00474A50" w:rsidRPr="00474A50">
        <w:rPr>
          <w:rFonts w:ascii="DecimaWE Rg" w:hAnsi="DecimaWE Rg"/>
          <w:sz w:val="23"/>
          <w:szCs w:val="23"/>
        </w:rPr>
        <w:t>5</w:t>
      </w:r>
      <w:r w:rsidRPr="00474A50">
        <w:rPr>
          <w:rFonts w:ascii="DecimaWE Rg" w:hAnsi="DecimaWE Rg"/>
          <w:sz w:val="23"/>
          <w:szCs w:val="23"/>
        </w:rPr>
        <w:t xml:space="preserve"> è rappresentata dal grafico seguente:</w:t>
      </w:r>
    </w:p>
    <w:p w:rsidR="00A669A1" w:rsidRPr="00DF381D" w:rsidRDefault="00A669A1" w:rsidP="00030C21">
      <w:pPr>
        <w:spacing w:before="120"/>
        <w:jc w:val="both"/>
        <w:rPr>
          <w:rFonts w:ascii="DecimaWE Rg" w:hAnsi="DecimaWE Rg"/>
          <w:color w:val="0070C0"/>
          <w:sz w:val="23"/>
          <w:szCs w:val="23"/>
        </w:rPr>
      </w:pPr>
    </w:p>
    <w:p w:rsidR="003D155F" w:rsidRPr="00DF381D" w:rsidRDefault="00474A50" w:rsidP="00030C21">
      <w:pPr>
        <w:spacing w:before="120"/>
        <w:jc w:val="both"/>
        <w:rPr>
          <w:rFonts w:ascii="DecimaWE Rg" w:hAnsi="DecimaWE Rg"/>
          <w:color w:val="0070C0"/>
          <w:sz w:val="23"/>
          <w:szCs w:val="23"/>
        </w:rPr>
      </w:pPr>
      <w:r>
        <w:rPr>
          <w:noProof/>
        </w:rPr>
        <w:drawing>
          <wp:inline distT="0" distB="0" distL="0" distR="0" wp14:anchorId="6E77B0A5" wp14:editId="6E77B0A6">
            <wp:extent cx="4149306" cy="1751162"/>
            <wp:effectExtent l="0" t="0" r="22860" b="2095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0C21" w:rsidRPr="00474A50" w:rsidRDefault="00A669A1" w:rsidP="00030C21">
      <w:pPr>
        <w:spacing w:before="120"/>
        <w:jc w:val="both"/>
        <w:rPr>
          <w:rFonts w:ascii="DecimaWE Rg" w:hAnsi="DecimaWE Rg"/>
          <w:sz w:val="23"/>
          <w:szCs w:val="23"/>
        </w:rPr>
      </w:pPr>
      <w:r w:rsidRPr="00474A50">
        <w:rPr>
          <w:rFonts w:ascii="DecimaWE Rg" w:hAnsi="DecimaWE Rg"/>
          <w:sz w:val="23"/>
          <w:szCs w:val="23"/>
        </w:rPr>
        <w:t>Per quanto riguarda i tributi propri, la parte preponderante è costituita dal gettito dell’Irap versata da amm.ni pubbliche o da soggetti privati:</w:t>
      </w:r>
    </w:p>
    <w:p w:rsidR="00A669A1" w:rsidRPr="00DF381D" w:rsidRDefault="00A669A1" w:rsidP="00030C21">
      <w:pPr>
        <w:spacing w:before="120"/>
        <w:jc w:val="both"/>
        <w:rPr>
          <w:rFonts w:ascii="DecimaWE Rg" w:hAnsi="DecimaWE Rg"/>
          <w:color w:val="0070C0"/>
          <w:sz w:val="23"/>
          <w:szCs w:val="23"/>
        </w:rPr>
      </w:pPr>
    </w:p>
    <w:p w:rsidR="00A669A1" w:rsidRPr="00DF381D" w:rsidRDefault="00EC76BA" w:rsidP="00030C21">
      <w:pPr>
        <w:spacing w:before="120"/>
        <w:jc w:val="both"/>
        <w:rPr>
          <w:rFonts w:ascii="DecimaWE Rg" w:hAnsi="DecimaWE Rg"/>
          <w:color w:val="0070C0"/>
          <w:sz w:val="23"/>
          <w:szCs w:val="23"/>
        </w:rPr>
      </w:pPr>
      <w:r>
        <w:rPr>
          <w:noProof/>
        </w:rPr>
        <w:drawing>
          <wp:inline distT="0" distB="0" distL="0" distR="0" wp14:anchorId="6E77B0A7" wp14:editId="6E77B0A8">
            <wp:extent cx="4865299" cy="2035834"/>
            <wp:effectExtent l="0" t="0" r="12065" b="2159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69A1" w:rsidRPr="00DF381D" w:rsidRDefault="00A669A1" w:rsidP="00030C21">
      <w:pPr>
        <w:spacing w:before="120"/>
        <w:jc w:val="both"/>
        <w:rPr>
          <w:rFonts w:ascii="DecimaWE Rg" w:hAnsi="DecimaWE Rg"/>
          <w:color w:val="0070C0"/>
          <w:sz w:val="23"/>
          <w:szCs w:val="23"/>
        </w:rPr>
      </w:pPr>
    </w:p>
    <w:p w:rsidR="00A669A1" w:rsidRPr="00474A50" w:rsidRDefault="00A669A1" w:rsidP="00030C21">
      <w:pPr>
        <w:spacing w:before="120"/>
        <w:jc w:val="both"/>
        <w:rPr>
          <w:rFonts w:ascii="DecimaWE Rg" w:hAnsi="DecimaWE Rg"/>
          <w:sz w:val="23"/>
          <w:szCs w:val="23"/>
        </w:rPr>
      </w:pPr>
      <w:r w:rsidRPr="00474A50">
        <w:rPr>
          <w:rFonts w:ascii="DecimaWE Rg" w:hAnsi="DecimaWE Rg"/>
          <w:sz w:val="23"/>
          <w:szCs w:val="23"/>
        </w:rPr>
        <w:t>Per quanto riguarda l</w:t>
      </w:r>
      <w:r w:rsidR="00E03100">
        <w:rPr>
          <w:rFonts w:ascii="DecimaWE Rg" w:hAnsi="DecimaWE Rg"/>
          <w:sz w:val="23"/>
          <w:szCs w:val="23"/>
        </w:rPr>
        <w:t>e compartecipazioni</w:t>
      </w:r>
      <w:r w:rsidRPr="00474A50">
        <w:rPr>
          <w:rFonts w:ascii="DecimaWE Rg" w:hAnsi="DecimaWE Rg"/>
          <w:sz w:val="23"/>
          <w:szCs w:val="23"/>
        </w:rPr>
        <w:t xml:space="preserve"> ai tributi erariali, </w:t>
      </w:r>
      <w:r w:rsidR="00E03100">
        <w:rPr>
          <w:rFonts w:ascii="DecimaWE Rg" w:hAnsi="DecimaWE Rg"/>
          <w:sz w:val="23"/>
          <w:szCs w:val="23"/>
        </w:rPr>
        <w:t>si ricorda che le stesse sono contabi</w:t>
      </w:r>
      <w:r w:rsidR="00B44872" w:rsidRPr="00474A50">
        <w:rPr>
          <w:rFonts w:ascii="DecimaWE Rg" w:hAnsi="DecimaWE Rg"/>
          <w:sz w:val="23"/>
          <w:szCs w:val="23"/>
        </w:rPr>
        <w:t>l</w:t>
      </w:r>
      <w:r w:rsidR="00E03100">
        <w:rPr>
          <w:rFonts w:ascii="DecimaWE Rg" w:hAnsi="DecimaWE Rg"/>
          <w:sz w:val="23"/>
          <w:szCs w:val="23"/>
        </w:rPr>
        <w:t xml:space="preserve">izzate al lordo di compensazioni e rimborsi in conto fiscale: di tale voce, che trova una corrispondenza in spesa ed è pertanto neutra ai fini dei saldi del bilancio, è data separata evidenza nel grafico che segue, che rappresenta la composizione per imposta: </w:t>
      </w:r>
    </w:p>
    <w:p w:rsidR="00A669A1" w:rsidRPr="00DF381D" w:rsidRDefault="006943B5" w:rsidP="00030C21">
      <w:pPr>
        <w:spacing w:before="120"/>
        <w:jc w:val="both"/>
        <w:rPr>
          <w:rFonts w:ascii="DecimaWE Rg" w:hAnsi="DecimaWE Rg"/>
          <w:color w:val="0070C0"/>
          <w:sz w:val="23"/>
          <w:szCs w:val="23"/>
        </w:rPr>
      </w:pPr>
      <w:r>
        <w:rPr>
          <w:noProof/>
        </w:rPr>
        <w:drawing>
          <wp:inline distT="0" distB="0" distL="0" distR="0" wp14:anchorId="6E77B0A9" wp14:editId="6E77B0AA">
            <wp:extent cx="6120130" cy="2642728"/>
            <wp:effectExtent l="0" t="0" r="13970" b="24765"/>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3100" w:rsidRPr="00E03100" w:rsidRDefault="00E03100" w:rsidP="00030C21">
      <w:pPr>
        <w:spacing w:before="120"/>
        <w:jc w:val="both"/>
        <w:rPr>
          <w:rFonts w:ascii="DecimaWE Rg" w:hAnsi="DecimaWE Rg"/>
          <w:sz w:val="23"/>
          <w:szCs w:val="23"/>
        </w:rPr>
      </w:pPr>
    </w:p>
    <w:p w:rsidR="006943B5" w:rsidRPr="00504BD5" w:rsidRDefault="006943B5" w:rsidP="006943B5">
      <w:pPr>
        <w:pStyle w:val="Titolo3"/>
        <w:jc w:val="both"/>
        <w:rPr>
          <w:rFonts w:ascii="DecimaWE Rg" w:hAnsi="DecimaWE Rg"/>
        </w:rPr>
      </w:pPr>
      <w:bookmarkStart w:id="29" w:name="_Toc375578723"/>
      <w:bookmarkStart w:id="30" w:name="_Toc214158158"/>
      <w:bookmarkStart w:id="31" w:name="_Toc214158242"/>
      <w:bookmarkStart w:id="32" w:name="_Toc214168331"/>
      <w:bookmarkStart w:id="33" w:name="_Toc249952456"/>
      <w:bookmarkStart w:id="34" w:name="_Toc371432095"/>
      <w:bookmarkEnd w:id="24"/>
      <w:bookmarkEnd w:id="27"/>
      <w:bookmarkEnd w:id="28"/>
      <w:r w:rsidRPr="00504BD5">
        <w:rPr>
          <w:rFonts w:ascii="DecimaWE Rg" w:hAnsi="DecimaWE Rg"/>
        </w:rPr>
        <w:t>Titolo 2 - Entrate derivanti da trasferimenti di parte corrente dello Stato dell'Unione Europea e di altri soggetti</w:t>
      </w:r>
      <w:bookmarkEnd w:id="29"/>
    </w:p>
    <w:p w:rsidR="006943B5" w:rsidRPr="00504BD5" w:rsidRDefault="006943B5" w:rsidP="006943B5">
      <w:pPr>
        <w:spacing w:before="120"/>
        <w:jc w:val="both"/>
        <w:rPr>
          <w:rFonts w:ascii="DecimaWE Rg" w:hAnsi="DecimaWE Rg"/>
          <w:sz w:val="23"/>
          <w:szCs w:val="23"/>
        </w:rPr>
      </w:pPr>
      <w:r w:rsidRPr="00504BD5">
        <w:rPr>
          <w:rFonts w:ascii="DecimaWE Rg" w:hAnsi="DecimaWE Rg"/>
          <w:sz w:val="23"/>
          <w:szCs w:val="23"/>
        </w:rPr>
        <w:t xml:space="preserve">Le entrate di titolo secondo previste per il 2015, pari a circa </w:t>
      </w:r>
      <w:r w:rsidRPr="00504BD5">
        <w:rPr>
          <w:rFonts w:ascii="DecimaWE Rg" w:hAnsi="DecimaWE Rg"/>
          <w:b/>
          <w:sz w:val="23"/>
          <w:szCs w:val="23"/>
        </w:rPr>
        <w:t>8</w:t>
      </w:r>
      <w:r>
        <w:rPr>
          <w:rFonts w:ascii="DecimaWE Rg" w:hAnsi="DecimaWE Rg"/>
          <w:b/>
          <w:sz w:val="23"/>
          <w:szCs w:val="23"/>
        </w:rPr>
        <w:t>7</w:t>
      </w:r>
      <w:r w:rsidRPr="00504BD5">
        <w:rPr>
          <w:rFonts w:ascii="DecimaWE Rg" w:hAnsi="DecimaWE Rg"/>
          <w:b/>
          <w:sz w:val="23"/>
          <w:szCs w:val="23"/>
        </w:rPr>
        <w:t xml:space="preserve"> milioni di euro</w:t>
      </w:r>
      <w:r w:rsidRPr="00504BD5">
        <w:rPr>
          <w:rFonts w:ascii="DecimaWE Rg" w:hAnsi="DecimaWE Rg"/>
          <w:sz w:val="23"/>
          <w:szCs w:val="23"/>
        </w:rPr>
        <w:t xml:space="preserve">, evidenziano una diminuzione di circa </w:t>
      </w:r>
      <w:r>
        <w:rPr>
          <w:rFonts w:ascii="DecimaWE Rg" w:hAnsi="DecimaWE Rg"/>
          <w:sz w:val="23"/>
          <w:szCs w:val="23"/>
        </w:rPr>
        <w:t>3</w:t>
      </w:r>
      <w:r w:rsidRPr="00504BD5">
        <w:rPr>
          <w:rFonts w:ascii="DecimaWE Rg" w:hAnsi="DecimaWE Rg"/>
          <w:sz w:val="23"/>
          <w:szCs w:val="23"/>
        </w:rPr>
        <w:t xml:space="preserve"> milioni di euro rispetto al corrispondente importo del bilancio di previsione 2014.</w:t>
      </w:r>
    </w:p>
    <w:p w:rsidR="006943B5" w:rsidRPr="00186AF8" w:rsidRDefault="006943B5" w:rsidP="006943B5">
      <w:pPr>
        <w:spacing w:before="120"/>
        <w:jc w:val="both"/>
        <w:rPr>
          <w:rFonts w:ascii="DecimaWE Rg" w:hAnsi="DecimaWE Rg"/>
          <w:sz w:val="23"/>
          <w:szCs w:val="23"/>
        </w:rPr>
      </w:pPr>
      <w:r w:rsidRPr="00504BD5">
        <w:rPr>
          <w:rFonts w:ascii="DecimaWE Rg" w:hAnsi="DecimaWE Rg"/>
          <w:sz w:val="23"/>
          <w:szCs w:val="23"/>
        </w:rPr>
        <w:t xml:space="preserve">Tale variazione è da ricondursi alla riduzione di alcune assegnazioni statali spettanti, in materia di </w:t>
      </w:r>
      <w:r w:rsidRPr="00186AF8">
        <w:rPr>
          <w:rFonts w:ascii="DecimaWE Rg" w:hAnsi="DecimaWE Rg"/>
          <w:sz w:val="23"/>
          <w:szCs w:val="23"/>
        </w:rPr>
        <w:t>apprendistato e formazione</w:t>
      </w:r>
      <w:r>
        <w:rPr>
          <w:rFonts w:ascii="DecimaWE Rg" w:hAnsi="DecimaWE Rg"/>
          <w:sz w:val="23"/>
          <w:szCs w:val="23"/>
        </w:rPr>
        <w:t>, parzialmente compensate dall’incremento delle iscrizioni relative alle assegnazioni statali in materia di competitività e occupazione.</w:t>
      </w:r>
    </w:p>
    <w:p w:rsidR="006943B5" w:rsidRPr="00504BD5" w:rsidRDefault="006943B5" w:rsidP="006943B5">
      <w:pPr>
        <w:pStyle w:val="Titolo3"/>
        <w:jc w:val="both"/>
        <w:rPr>
          <w:rFonts w:ascii="DecimaWE Rg" w:hAnsi="DecimaWE Rg"/>
        </w:rPr>
      </w:pPr>
      <w:bookmarkStart w:id="35" w:name="_Toc375578724"/>
      <w:bookmarkStart w:id="36" w:name="_Toc214158159"/>
      <w:bookmarkStart w:id="37" w:name="_Toc214158243"/>
      <w:bookmarkStart w:id="38" w:name="_Toc214168332"/>
      <w:bookmarkStart w:id="39" w:name="_Toc249952457"/>
      <w:bookmarkStart w:id="40" w:name="_Ref340657250"/>
      <w:bookmarkStart w:id="41" w:name="_Toc371432096"/>
      <w:bookmarkStart w:id="42" w:name="_Toc375578725"/>
      <w:bookmarkEnd w:id="30"/>
      <w:bookmarkEnd w:id="31"/>
      <w:bookmarkEnd w:id="32"/>
      <w:bookmarkEnd w:id="33"/>
      <w:bookmarkEnd w:id="34"/>
      <w:r w:rsidRPr="00504BD5">
        <w:rPr>
          <w:rFonts w:ascii="DecimaWE Rg" w:hAnsi="DecimaWE Rg"/>
        </w:rPr>
        <w:t xml:space="preserve">Titolo 3 – Entrate </w:t>
      </w:r>
      <w:proofErr w:type="spellStart"/>
      <w:r w:rsidRPr="00504BD5">
        <w:rPr>
          <w:rFonts w:ascii="DecimaWE Rg" w:hAnsi="DecimaWE Rg"/>
        </w:rPr>
        <w:t>extratributarie</w:t>
      </w:r>
      <w:bookmarkEnd w:id="35"/>
      <w:proofErr w:type="spellEnd"/>
    </w:p>
    <w:p w:rsidR="006943B5" w:rsidRPr="001449A8" w:rsidRDefault="006943B5" w:rsidP="006943B5">
      <w:pPr>
        <w:spacing w:before="120"/>
        <w:jc w:val="both"/>
        <w:rPr>
          <w:rFonts w:ascii="DecimaWE Rg" w:hAnsi="DecimaWE Rg"/>
          <w:sz w:val="23"/>
          <w:szCs w:val="23"/>
        </w:rPr>
      </w:pPr>
      <w:r w:rsidRPr="001449A8">
        <w:rPr>
          <w:rFonts w:ascii="DecimaWE Rg" w:hAnsi="DecimaWE Rg"/>
          <w:sz w:val="23"/>
          <w:szCs w:val="23"/>
        </w:rPr>
        <w:t xml:space="preserve">Le previsioni di entrata di titolo terzo si attestano sull’importo di </w:t>
      </w:r>
      <w:r>
        <w:rPr>
          <w:rFonts w:ascii="DecimaWE Rg" w:hAnsi="DecimaWE Rg"/>
          <w:b/>
          <w:sz w:val="23"/>
          <w:szCs w:val="23"/>
        </w:rPr>
        <w:t>67,67</w:t>
      </w:r>
      <w:r w:rsidRPr="001449A8">
        <w:rPr>
          <w:rFonts w:ascii="DecimaWE Rg" w:hAnsi="DecimaWE Rg"/>
          <w:b/>
          <w:sz w:val="23"/>
          <w:szCs w:val="23"/>
        </w:rPr>
        <w:t xml:space="preserve"> milioni di euro, </w:t>
      </w:r>
      <w:r w:rsidRPr="001449A8">
        <w:rPr>
          <w:rFonts w:ascii="DecimaWE Rg" w:hAnsi="DecimaWE Rg"/>
          <w:sz w:val="23"/>
          <w:szCs w:val="23"/>
        </w:rPr>
        <w:t xml:space="preserve">con </w:t>
      </w:r>
      <w:r>
        <w:rPr>
          <w:rFonts w:ascii="DecimaWE Rg" w:hAnsi="DecimaWE Rg"/>
          <w:sz w:val="23"/>
          <w:szCs w:val="23"/>
        </w:rPr>
        <w:t>un incremento</w:t>
      </w:r>
      <w:r w:rsidRPr="001449A8">
        <w:rPr>
          <w:rFonts w:ascii="DecimaWE Rg" w:hAnsi="DecimaWE Rg"/>
          <w:sz w:val="23"/>
          <w:szCs w:val="23"/>
        </w:rPr>
        <w:t xml:space="preserve"> di circa </w:t>
      </w:r>
      <w:r>
        <w:rPr>
          <w:rFonts w:ascii="DecimaWE Rg" w:hAnsi="DecimaWE Rg"/>
          <w:sz w:val="23"/>
          <w:szCs w:val="23"/>
        </w:rPr>
        <w:t>8</w:t>
      </w:r>
      <w:r w:rsidRPr="001449A8">
        <w:rPr>
          <w:rFonts w:ascii="DecimaWE Rg" w:hAnsi="DecimaWE Rg"/>
          <w:sz w:val="23"/>
          <w:szCs w:val="23"/>
        </w:rPr>
        <w:t xml:space="preserve"> milioni rispetto all’importo previsto per il 2014. Gli aspetti più significativi che concorrono a tale variazione sono i seguenti:</w:t>
      </w:r>
    </w:p>
    <w:p w:rsidR="006943B5" w:rsidRPr="001449A8" w:rsidRDefault="006943B5" w:rsidP="006943B5">
      <w:pPr>
        <w:numPr>
          <w:ilvl w:val="0"/>
          <w:numId w:val="8"/>
        </w:numPr>
        <w:spacing w:before="120"/>
        <w:ind w:left="720"/>
        <w:jc w:val="both"/>
        <w:rPr>
          <w:rFonts w:ascii="DecimaWE Rg" w:hAnsi="DecimaWE Rg"/>
          <w:sz w:val="23"/>
          <w:szCs w:val="23"/>
        </w:rPr>
      </w:pPr>
      <w:r w:rsidRPr="001449A8">
        <w:rPr>
          <w:rFonts w:ascii="DecimaWE Rg" w:hAnsi="DecimaWE Rg"/>
          <w:sz w:val="23"/>
          <w:szCs w:val="23"/>
        </w:rPr>
        <w:t xml:space="preserve">vengono </w:t>
      </w:r>
      <w:r>
        <w:rPr>
          <w:rFonts w:ascii="DecimaWE Rg" w:hAnsi="DecimaWE Rg"/>
          <w:sz w:val="23"/>
          <w:szCs w:val="23"/>
        </w:rPr>
        <w:t>iscritte alcune entrate relative a rient</w:t>
      </w:r>
      <w:r w:rsidRPr="001449A8">
        <w:rPr>
          <w:rFonts w:ascii="DecimaWE Rg" w:hAnsi="DecimaWE Rg"/>
          <w:sz w:val="23"/>
          <w:szCs w:val="23"/>
        </w:rPr>
        <w:t>ri di somme anticipate a valere sulla pro</w:t>
      </w:r>
      <w:r>
        <w:rPr>
          <w:rFonts w:ascii="DecimaWE Rg" w:hAnsi="DecimaWE Rg"/>
          <w:sz w:val="23"/>
          <w:szCs w:val="23"/>
        </w:rPr>
        <w:t xml:space="preserve">grammazione comunitaria 2014-20, in misura superiore a quanto previsto nel bilancio per l’esercizio 2014; </w:t>
      </w:r>
    </w:p>
    <w:p w:rsidR="006943B5" w:rsidRDefault="006943B5" w:rsidP="006943B5">
      <w:pPr>
        <w:numPr>
          <w:ilvl w:val="0"/>
          <w:numId w:val="8"/>
        </w:numPr>
        <w:spacing w:before="120"/>
        <w:ind w:left="720"/>
        <w:jc w:val="both"/>
        <w:rPr>
          <w:rFonts w:ascii="DecimaWE Rg" w:hAnsi="DecimaWE Rg"/>
          <w:sz w:val="23"/>
          <w:szCs w:val="23"/>
        </w:rPr>
      </w:pPr>
      <w:r w:rsidRPr="001449A8">
        <w:rPr>
          <w:rFonts w:ascii="DecimaWE Rg" w:hAnsi="DecimaWE Rg"/>
          <w:sz w:val="23"/>
          <w:szCs w:val="23"/>
        </w:rPr>
        <w:t xml:space="preserve">a seguito di revisione dei meccanismi nazionali di </w:t>
      </w:r>
      <w:proofErr w:type="spellStart"/>
      <w:r w:rsidRPr="001449A8">
        <w:rPr>
          <w:rFonts w:ascii="DecimaWE Rg" w:hAnsi="DecimaWE Rg"/>
          <w:sz w:val="23"/>
          <w:szCs w:val="23"/>
        </w:rPr>
        <w:t>riattribu</w:t>
      </w:r>
      <w:r>
        <w:rPr>
          <w:rFonts w:ascii="DecimaWE Rg" w:hAnsi="DecimaWE Rg"/>
          <w:sz w:val="23"/>
          <w:szCs w:val="23"/>
        </w:rPr>
        <w:t>zi</w:t>
      </w:r>
      <w:r w:rsidRPr="001449A8">
        <w:rPr>
          <w:rFonts w:ascii="DecimaWE Rg" w:hAnsi="DecimaWE Rg"/>
          <w:sz w:val="23"/>
          <w:szCs w:val="23"/>
        </w:rPr>
        <w:t>one</w:t>
      </w:r>
      <w:proofErr w:type="spellEnd"/>
      <w:r w:rsidRPr="001449A8">
        <w:rPr>
          <w:rFonts w:ascii="DecimaWE Rg" w:hAnsi="DecimaWE Rg"/>
          <w:sz w:val="23"/>
          <w:szCs w:val="23"/>
        </w:rPr>
        <w:t xml:space="preserve"> alle regioni dei risparmi della spesa farmaceutica, viene meno un’entrata prevista de</w:t>
      </w:r>
      <w:r>
        <w:rPr>
          <w:rFonts w:ascii="DecimaWE Rg" w:hAnsi="DecimaWE Rg"/>
          <w:sz w:val="23"/>
          <w:szCs w:val="23"/>
        </w:rPr>
        <w:t>ll’ordine dei 6 milioni di euro;</w:t>
      </w:r>
    </w:p>
    <w:p w:rsidR="006943B5" w:rsidRPr="00231879" w:rsidRDefault="006943B5" w:rsidP="006943B5">
      <w:pPr>
        <w:numPr>
          <w:ilvl w:val="0"/>
          <w:numId w:val="8"/>
        </w:numPr>
        <w:spacing w:before="120"/>
        <w:ind w:left="720"/>
        <w:jc w:val="both"/>
        <w:rPr>
          <w:rFonts w:ascii="DecimaWE Rg" w:hAnsi="DecimaWE Rg"/>
          <w:sz w:val="23"/>
          <w:szCs w:val="23"/>
        </w:rPr>
      </w:pPr>
      <w:r w:rsidRPr="00231879">
        <w:rPr>
          <w:rFonts w:ascii="DecimaWE Rg" w:hAnsi="DecimaWE Rg"/>
          <w:sz w:val="23"/>
          <w:szCs w:val="23"/>
        </w:rPr>
        <w:t xml:space="preserve">è possibile iscrivere a bilancio una posta straordinaria, dell’ordine dei 6 milioni di euro, relativa al rimborso </w:t>
      </w:r>
      <w:r>
        <w:rPr>
          <w:rFonts w:ascii="DecimaWE Rg" w:hAnsi="DecimaWE Rg"/>
          <w:sz w:val="23"/>
          <w:szCs w:val="23"/>
        </w:rPr>
        <w:t>da parte delle aziende sanitarie</w:t>
      </w:r>
      <w:r w:rsidRPr="00231879">
        <w:rPr>
          <w:rFonts w:ascii="DecimaWE Rg" w:hAnsi="DecimaWE Rg"/>
          <w:sz w:val="23"/>
          <w:szCs w:val="23"/>
        </w:rPr>
        <w:t xml:space="preserve"> delle quote di cui all’art. 13 c.2 </w:t>
      </w:r>
      <w:proofErr w:type="spellStart"/>
      <w:r w:rsidRPr="00231879">
        <w:rPr>
          <w:rFonts w:ascii="DecimaWE Rg" w:hAnsi="DecimaWE Rg"/>
          <w:sz w:val="23"/>
          <w:szCs w:val="23"/>
        </w:rPr>
        <w:t>d</w:t>
      </w:r>
      <w:r>
        <w:rPr>
          <w:rFonts w:ascii="DecimaWE Rg" w:hAnsi="DecimaWE Rg"/>
          <w:sz w:val="23"/>
          <w:szCs w:val="23"/>
        </w:rPr>
        <w:t>.</w:t>
      </w:r>
      <w:r w:rsidRPr="00231879">
        <w:rPr>
          <w:rFonts w:ascii="DecimaWE Rg" w:hAnsi="DecimaWE Rg"/>
          <w:sz w:val="23"/>
          <w:szCs w:val="23"/>
        </w:rPr>
        <w:t>l</w:t>
      </w:r>
      <w:r>
        <w:rPr>
          <w:rFonts w:ascii="DecimaWE Rg" w:hAnsi="DecimaWE Rg"/>
          <w:sz w:val="23"/>
          <w:szCs w:val="23"/>
        </w:rPr>
        <w:t>.</w:t>
      </w:r>
      <w:proofErr w:type="spellEnd"/>
      <w:r w:rsidRPr="00231879">
        <w:rPr>
          <w:rFonts w:ascii="DecimaWE Rg" w:hAnsi="DecimaWE Rg"/>
          <w:sz w:val="23"/>
          <w:szCs w:val="23"/>
        </w:rPr>
        <w:t xml:space="preserve"> 39/2009 (eventi sismici verificatisi in Abruzzo nel 2009), che si rende disponibile nel quadro della complessiva definizione dei rapporti pregressi Stato-Regione a seguito del Protocollo di intesa del 23 ottobre 2014.</w:t>
      </w:r>
    </w:p>
    <w:bookmarkEnd w:id="36"/>
    <w:bookmarkEnd w:id="37"/>
    <w:bookmarkEnd w:id="38"/>
    <w:bookmarkEnd w:id="39"/>
    <w:bookmarkEnd w:id="40"/>
    <w:bookmarkEnd w:id="41"/>
    <w:bookmarkEnd w:id="42"/>
    <w:p w:rsidR="006943B5" w:rsidRPr="001449A8" w:rsidRDefault="006943B5" w:rsidP="006943B5">
      <w:pPr>
        <w:pStyle w:val="Titolo3"/>
        <w:jc w:val="both"/>
        <w:rPr>
          <w:rFonts w:ascii="DecimaWE Rg" w:hAnsi="DecimaWE Rg"/>
        </w:rPr>
      </w:pPr>
      <w:r w:rsidRPr="001449A8">
        <w:rPr>
          <w:rFonts w:ascii="DecimaWE Rg" w:hAnsi="DecimaWE Rg"/>
        </w:rPr>
        <w:lastRenderedPageBreak/>
        <w:t>Titolo 4 - Entrate derivanti da alienazioni, da trasformazione di capitale, da riscossione di crediti e da trasferimenti in conto capitale</w:t>
      </w:r>
    </w:p>
    <w:p w:rsidR="006943B5" w:rsidRPr="0051111B" w:rsidRDefault="006943B5" w:rsidP="006943B5">
      <w:pPr>
        <w:spacing w:before="120"/>
        <w:jc w:val="both"/>
        <w:rPr>
          <w:rFonts w:ascii="DecimaWE Rg" w:hAnsi="DecimaWE Rg"/>
          <w:sz w:val="23"/>
          <w:szCs w:val="23"/>
        </w:rPr>
      </w:pPr>
      <w:bookmarkStart w:id="43" w:name="OLE_LINK1"/>
      <w:bookmarkStart w:id="44" w:name="OLE_LINK2"/>
      <w:r w:rsidRPr="001449A8">
        <w:rPr>
          <w:rFonts w:ascii="DecimaWE Rg" w:hAnsi="DecimaWE Rg"/>
          <w:sz w:val="23"/>
          <w:szCs w:val="23"/>
        </w:rPr>
        <w:t xml:space="preserve">Le entrate di titolo quarto previste per il 2015, pari a </w:t>
      </w:r>
      <w:r>
        <w:rPr>
          <w:rFonts w:ascii="DecimaWE Rg" w:hAnsi="DecimaWE Rg"/>
          <w:b/>
          <w:sz w:val="23"/>
          <w:szCs w:val="23"/>
        </w:rPr>
        <w:t>739,83</w:t>
      </w:r>
      <w:r w:rsidRPr="001449A8">
        <w:rPr>
          <w:rFonts w:ascii="DecimaWE Rg" w:hAnsi="DecimaWE Rg"/>
          <w:b/>
          <w:sz w:val="23"/>
          <w:szCs w:val="23"/>
        </w:rPr>
        <w:t xml:space="preserve"> milioni di euro</w:t>
      </w:r>
      <w:r w:rsidRPr="001449A8">
        <w:rPr>
          <w:rFonts w:ascii="DecimaWE Rg" w:hAnsi="DecimaWE Rg"/>
          <w:sz w:val="23"/>
          <w:szCs w:val="23"/>
        </w:rPr>
        <w:t xml:space="preserve">, evidenziano un incremento di </w:t>
      </w:r>
      <w:r>
        <w:rPr>
          <w:rFonts w:ascii="DecimaWE Rg" w:hAnsi="DecimaWE Rg"/>
          <w:sz w:val="23"/>
          <w:szCs w:val="23"/>
        </w:rPr>
        <w:t>quasi</w:t>
      </w:r>
      <w:r w:rsidRPr="001449A8">
        <w:rPr>
          <w:rFonts w:ascii="DecimaWE Rg" w:hAnsi="DecimaWE Rg"/>
          <w:sz w:val="23"/>
          <w:szCs w:val="23"/>
        </w:rPr>
        <w:t xml:space="preserve"> 6</w:t>
      </w:r>
      <w:r>
        <w:rPr>
          <w:rFonts w:ascii="DecimaWE Rg" w:hAnsi="DecimaWE Rg"/>
          <w:sz w:val="23"/>
          <w:szCs w:val="23"/>
        </w:rPr>
        <w:t>70</w:t>
      </w:r>
      <w:r w:rsidRPr="001449A8">
        <w:rPr>
          <w:rFonts w:ascii="DecimaWE Rg" w:hAnsi="DecimaWE Rg"/>
          <w:sz w:val="23"/>
          <w:szCs w:val="23"/>
        </w:rPr>
        <w:t xml:space="preserve"> milioni di euro rispetto all’importo del bilancio di previsione 2014. Tale vistoso incremento va ascritto </w:t>
      </w:r>
      <w:r>
        <w:rPr>
          <w:rFonts w:ascii="DecimaWE Rg" w:hAnsi="DecimaWE Rg"/>
          <w:sz w:val="23"/>
          <w:szCs w:val="23"/>
        </w:rPr>
        <w:t>nella quasi totalità</w:t>
      </w:r>
      <w:r w:rsidRPr="001449A8">
        <w:rPr>
          <w:rFonts w:ascii="DecimaWE Rg" w:hAnsi="DecimaWE Rg"/>
          <w:sz w:val="23"/>
          <w:szCs w:val="23"/>
        </w:rPr>
        <w:t xml:space="preserve"> a</w:t>
      </w:r>
      <w:r>
        <w:rPr>
          <w:rFonts w:ascii="DecimaWE Rg" w:hAnsi="DecimaWE Rg"/>
          <w:sz w:val="23"/>
          <w:szCs w:val="23"/>
        </w:rPr>
        <w:t>ll’adozione di</w:t>
      </w:r>
      <w:r w:rsidRPr="001449A8">
        <w:rPr>
          <w:rFonts w:ascii="DecimaWE Rg" w:hAnsi="DecimaWE Rg"/>
          <w:sz w:val="23"/>
          <w:szCs w:val="23"/>
        </w:rPr>
        <w:t xml:space="preserve"> differenti criteri di classificazione</w:t>
      </w:r>
      <w:r>
        <w:rPr>
          <w:rFonts w:ascii="DecimaWE Rg" w:hAnsi="DecimaWE Rg"/>
          <w:sz w:val="23"/>
          <w:szCs w:val="23"/>
        </w:rPr>
        <w:t xml:space="preserve"> in relazione ad alcune tipologie di entrate regionali</w:t>
      </w:r>
      <w:r w:rsidRPr="001449A8">
        <w:rPr>
          <w:rFonts w:ascii="DecimaWE Rg" w:hAnsi="DecimaWE Rg"/>
          <w:sz w:val="23"/>
          <w:szCs w:val="23"/>
        </w:rPr>
        <w:t xml:space="preserve">, come accennato al precedente paragrafo </w:t>
      </w:r>
      <w:r w:rsidRPr="001449A8">
        <w:rPr>
          <w:rFonts w:ascii="DecimaWE Rg" w:hAnsi="DecimaWE Rg"/>
          <w:i/>
          <w:sz w:val="23"/>
          <w:szCs w:val="23"/>
        </w:rPr>
        <w:fldChar w:fldCharType="begin"/>
      </w:r>
      <w:r w:rsidRPr="001449A8">
        <w:rPr>
          <w:rFonts w:ascii="DecimaWE Rg" w:hAnsi="DecimaWE Rg"/>
          <w:i/>
          <w:sz w:val="23"/>
          <w:szCs w:val="23"/>
        </w:rPr>
        <w:instrText xml:space="preserve"> REF _Ref403565845 \h  \* MERGEFORMAT </w:instrText>
      </w:r>
      <w:r w:rsidRPr="001449A8">
        <w:rPr>
          <w:rFonts w:ascii="DecimaWE Rg" w:hAnsi="DecimaWE Rg"/>
          <w:i/>
          <w:sz w:val="23"/>
          <w:szCs w:val="23"/>
        </w:rPr>
      </w:r>
      <w:r w:rsidRPr="001449A8">
        <w:rPr>
          <w:rFonts w:ascii="DecimaWE Rg" w:hAnsi="DecimaWE Rg"/>
          <w:i/>
          <w:sz w:val="23"/>
          <w:szCs w:val="23"/>
        </w:rPr>
        <w:fldChar w:fldCharType="separate"/>
      </w:r>
      <w:r w:rsidR="00AF281E" w:rsidRPr="00AF281E">
        <w:rPr>
          <w:rFonts w:ascii="DecimaWE Rg" w:hAnsi="DecimaWE Rg"/>
          <w:i/>
          <w:sz w:val="23"/>
          <w:szCs w:val="23"/>
        </w:rPr>
        <w:t>Il processo di armonizzazione dei bilanci pubblici: il d.lgs. 118/2011</w:t>
      </w:r>
      <w:r w:rsidRPr="001449A8">
        <w:rPr>
          <w:rFonts w:ascii="DecimaWE Rg" w:hAnsi="DecimaWE Rg"/>
          <w:i/>
          <w:sz w:val="23"/>
          <w:szCs w:val="23"/>
        </w:rPr>
        <w:fldChar w:fldCharType="end"/>
      </w:r>
      <w:r w:rsidRPr="001449A8">
        <w:rPr>
          <w:rFonts w:ascii="DecimaWE Rg" w:hAnsi="DecimaWE Rg"/>
          <w:sz w:val="23"/>
          <w:szCs w:val="23"/>
        </w:rPr>
        <w:t xml:space="preserve">. </w:t>
      </w:r>
      <w:bookmarkEnd w:id="43"/>
      <w:bookmarkEnd w:id="44"/>
      <w:r>
        <w:rPr>
          <w:rFonts w:ascii="DecimaWE Rg" w:hAnsi="DecimaWE Rg"/>
          <w:sz w:val="23"/>
          <w:szCs w:val="23"/>
        </w:rPr>
        <w:t>Ripristinata l’omogeneità di classificazione</w:t>
      </w:r>
      <w:r w:rsidRPr="0051111B">
        <w:rPr>
          <w:rFonts w:ascii="DecimaWE Rg" w:hAnsi="DecimaWE Rg"/>
          <w:sz w:val="23"/>
          <w:szCs w:val="23"/>
        </w:rPr>
        <w:t xml:space="preserve">, il differenziale tra lo stanziamento previsto per il 2015 e quello iscritto nel bilancio di previsione 2014 risulta modesto (circa </w:t>
      </w:r>
      <w:r>
        <w:rPr>
          <w:rFonts w:ascii="DecimaWE Rg" w:hAnsi="DecimaWE Rg"/>
          <w:sz w:val="23"/>
          <w:szCs w:val="23"/>
        </w:rPr>
        <w:t>20</w:t>
      </w:r>
      <w:r w:rsidR="007B6092">
        <w:rPr>
          <w:rFonts w:ascii="DecimaWE Rg" w:hAnsi="DecimaWE Rg"/>
          <w:sz w:val="23"/>
          <w:szCs w:val="23"/>
        </w:rPr>
        <w:t xml:space="preserve"> milioni di euro in più).</w:t>
      </w:r>
    </w:p>
    <w:p w:rsidR="00030C21" w:rsidRPr="007B6092" w:rsidRDefault="00030C21" w:rsidP="00030C21">
      <w:pPr>
        <w:pStyle w:val="Titolo3"/>
        <w:jc w:val="both"/>
        <w:rPr>
          <w:rFonts w:ascii="DecimaWE Rg" w:hAnsi="DecimaWE Rg"/>
        </w:rPr>
      </w:pPr>
      <w:bookmarkStart w:id="45" w:name="_Toc214158160"/>
      <w:bookmarkStart w:id="46" w:name="_Toc214158244"/>
      <w:bookmarkStart w:id="47" w:name="_Toc214168333"/>
      <w:bookmarkStart w:id="48" w:name="_Toc249952458"/>
      <w:bookmarkStart w:id="49" w:name="_Toc371432097"/>
      <w:bookmarkStart w:id="50" w:name="_Toc375578726"/>
      <w:r w:rsidRPr="007B6092">
        <w:rPr>
          <w:rFonts w:ascii="DecimaWE Rg" w:hAnsi="DecimaWE Rg"/>
        </w:rPr>
        <w:t>Titolo 5 - Entrate derivanti da mutui, prestiti o altre operazioni creditizie</w:t>
      </w:r>
      <w:bookmarkEnd w:id="45"/>
      <w:bookmarkEnd w:id="46"/>
      <w:bookmarkEnd w:id="47"/>
      <w:bookmarkEnd w:id="48"/>
      <w:bookmarkEnd w:id="49"/>
      <w:bookmarkEnd w:id="50"/>
    </w:p>
    <w:p w:rsidR="007B6092" w:rsidRPr="007A0511" w:rsidRDefault="00030C21" w:rsidP="007B6092">
      <w:pPr>
        <w:spacing w:before="120"/>
        <w:jc w:val="both"/>
        <w:rPr>
          <w:rFonts w:ascii="DecimaWE Rg" w:hAnsi="DecimaWE Rg"/>
          <w:sz w:val="23"/>
          <w:szCs w:val="23"/>
        </w:rPr>
      </w:pPr>
      <w:r w:rsidRPr="007B6092">
        <w:rPr>
          <w:rFonts w:ascii="DecimaWE Rg" w:hAnsi="DecimaWE Rg"/>
          <w:sz w:val="23"/>
          <w:szCs w:val="23"/>
        </w:rPr>
        <w:t>Le entrate di titolo quinto per il 201</w:t>
      </w:r>
      <w:r w:rsidR="007B6092">
        <w:rPr>
          <w:rFonts w:ascii="DecimaWE Rg" w:hAnsi="DecimaWE Rg"/>
          <w:sz w:val="23"/>
          <w:szCs w:val="23"/>
        </w:rPr>
        <w:t>5</w:t>
      </w:r>
      <w:r w:rsidRPr="007B6092">
        <w:rPr>
          <w:rFonts w:ascii="DecimaWE Rg" w:hAnsi="DecimaWE Rg"/>
          <w:sz w:val="23"/>
          <w:szCs w:val="23"/>
        </w:rPr>
        <w:t xml:space="preserve"> prevedono nuove autorizzazioni al ricorso al mercato finanziario per</w:t>
      </w:r>
      <w:r w:rsidR="007B6092">
        <w:rPr>
          <w:rFonts w:ascii="DecimaWE Rg" w:hAnsi="DecimaWE Rg"/>
          <w:sz w:val="23"/>
          <w:szCs w:val="23"/>
        </w:rPr>
        <w:t xml:space="preserve"> circa</w:t>
      </w:r>
      <w:r w:rsidRPr="007B6092">
        <w:rPr>
          <w:rFonts w:ascii="DecimaWE Rg" w:hAnsi="DecimaWE Rg"/>
          <w:sz w:val="23"/>
          <w:szCs w:val="23"/>
        </w:rPr>
        <w:t xml:space="preserve"> </w:t>
      </w:r>
      <w:r w:rsidR="007B6092">
        <w:rPr>
          <w:rFonts w:ascii="DecimaWE Rg" w:hAnsi="DecimaWE Rg"/>
          <w:b/>
          <w:sz w:val="23"/>
          <w:szCs w:val="23"/>
        </w:rPr>
        <w:t>20</w:t>
      </w:r>
      <w:r w:rsidRPr="007B6092">
        <w:rPr>
          <w:rFonts w:ascii="DecimaWE Rg" w:hAnsi="DecimaWE Rg"/>
          <w:b/>
          <w:sz w:val="23"/>
          <w:szCs w:val="23"/>
        </w:rPr>
        <w:t xml:space="preserve"> milioni di euro</w:t>
      </w:r>
      <w:r w:rsidRPr="007B6092">
        <w:rPr>
          <w:rFonts w:ascii="DecimaWE Rg" w:hAnsi="DecimaWE Rg"/>
          <w:sz w:val="23"/>
          <w:szCs w:val="23"/>
        </w:rPr>
        <w:t xml:space="preserve">. </w:t>
      </w:r>
      <w:r w:rsidR="007B6092" w:rsidRPr="007A0511">
        <w:rPr>
          <w:rFonts w:ascii="DecimaWE Rg" w:hAnsi="DecimaWE Rg"/>
          <w:sz w:val="23"/>
          <w:szCs w:val="23"/>
        </w:rPr>
        <w:t>Va sottolineato il trend dell’importo annualmente autorizzato, che registra una significativa diminuzione negli ultimi 5 anni, passando dai 225 milioni autorizzati nel 2010 agli attuali 20 milioni, con una contrazione di più del 90%.</w:t>
      </w:r>
    </w:p>
    <w:p w:rsidR="00C51886" w:rsidRPr="007A0511" w:rsidRDefault="00C51886" w:rsidP="00C51886">
      <w:pPr>
        <w:pStyle w:val="Titolo3"/>
        <w:jc w:val="both"/>
        <w:rPr>
          <w:rFonts w:ascii="DecimaWE Rg" w:hAnsi="DecimaWE Rg"/>
        </w:rPr>
      </w:pPr>
      <w:bookmarkStart w:id="51" w:name="_Toc214158161"/>
      <w:bookmarkStart w:id="52" w:name="_Toc214158245"/>
      <w:bookmarkStart w:id="53" w:name="_Toc214168334"/>
      <w:bookmarkStart w:id="54" w:name="_Toc249952459"/>
      <w:bookmarkStart w:id="55" w:name="_Ref340484712"/>
      <w:bookmarkStart w:id="56" w:name="_Toc371432098"/>
      <w:bookmarkStart w:id="57" w:name="_Toc375578727"/>
      <w:r w:rsidRPr="007A0511">
        <w:rPr>
          <w:rFonts w:ascii="DecimaWE Rg" w:hAnsi="DecimaWE Rg"/>
        </w:rPr>
        <w:t>Avanzo presunto di amministrazione applicato al bilancio 20</w:t>
      </w:r>
      <w:bookmarkEnd w:id="51"/>
      <w:bookmarkEnd w:id="52"/>
      <w:bookmarkEnd w:id="53"/>
      <w:r w:rsidRPr="007A0511">
        <w:rPr>
          <w:rFonts w:ascii="DecimaWE Rg" w:hAnsi="DecimaWE Rg"/>
        </w:rPr>
        <w:t>1</w:t>
      </w:r>
      <w:bookmarkEnd w:id="54"/>
      <w:bookmarkEnd w:id="55"/>
      <w:bookmarkEnd w:id="56"/>
      <w:bookmarkEnd w:id="57"/>
      <w:r w:rsidRPr="007A0511">
        <w:rPr>
          <w:rFonts w:ascii="DecimaWE Rg" w:hAnsi="DecimaWE Rg"/>
        </w:rPr>
        <w:t>5</w:t>
      </w:r>
    </w:p>
    <w:p w:rsidR="00C51886" w:rsidRPr="007A0511" w:rsidRDefault="00C51886" w:rsidP="00C51886">
      <w:pPr>
        <w:spacing w:before="120"/>
        <w:jc w:val="both"/>
        <w:rPr>
          <w:rFonts w:ascii="DecimaWE Rg" w:hAnsi="DecimaWE Rg"/>
          <w:sz w:val="23"/>
          <w:szCs w:val="23"/>
        </w:rPr>
      </w:pPr>
      <w:r w:rsidRPr="007A0511">
        <w:rPr>
          <w:rFonts w:ascii="DecimaWE Rg" w:hAnsi="DecimaWE Rg"/>
          <w:sz w:val="23"/>
          <w:szCs w:val="23"/>
        </w:rPr>
        <w:t xml:space="preserve">In ottemperanza alla sentenza 70/2012 C. </w:t>
      </w:r>
      <w:proofErr w:type="spellStart"/>
      <w:r w:rsidRPr="007A0511">
        <w:rPr>
          <w:rFonts w:ascii="DecimaWE Rg" w:hAnsi="DecimaWE Rg"/>
          <w:sz w:val="23"/>
          <w:szCs w:val="23"/>
        </w:rPr>
        <w:t>Cost</w:t>
      </w:r>
      <w:proofErr w:type="spellEnd"/>
      <w:r w:rsidRPr="007A0511">
        <w:rPr>
          <w:rFonts w:ascii="DecimaWE Rg" w:hAnsi="DecimaWE Rg"/>
          <w:sz w:val="23"/>
          <w:szCs w:val="23"/>
        </w:rPr>
        <w:t>., ed in continuità con il bilancio di previsione per l’esercizio 2014, non sono state applicat</w:t>
      </w:r>
      <w:r>
        <w:rPr>
          <w:rFonts w:ascii="DecimaWE Rg" w:hAnsi="DecimaWE Rg"/>
          <w:sz w:val="23"/>
          <w:szCs w:val="23"/>
        </w:rPr>
        <w:t>e al bilancio di previsione 2015</w:t>
      </w:r>
      <w:r w:rsidRPr="007A0511">
        <w:rPr>
          <w:rFonts w:ascii="DecimaWE Rg" w:hAnsi="DecimaWE Rg"/>
          <w:sz w:val="23"/>
          <w:szCs w:val="23"/>
        </w:rPr>
        <w:t xml:space="preserve"> quote dell’avanzo presunto di amministrazione, se non quelle a cui corrispondono specifici vincoli normativi.</w:t>
      </w:r>
    </w:p>
    <w:p w:rsidR="00C51886" w:rsidRPr="007A0511" w:rsidRDefault="00C51886" w:rsidP="00C51886">
      <w:pPr>
        <w:spacing w:before="120"/>
        <w:jc w:val="both"/>
        <w:rPr>
          <w:rFonts w:ascii="DecimaWE Rg" w:hAnsi="DecimaWE Rg"/>
          <w:sz w:val="23"/>
          <w:szCs w:val="23"/>
        </w:rPr>
      </w:pPr>
      <w:r w:rsidRPr="007A0511">
        <w:rPr>
          <w:rFonts w:ascii="DecimaWE Rg" w:hAnsi="DecimaWE Rg"/>
          <w:sz w:val="23"/>
          <w:szCs w:val="23"/>
        </w:rPr>
        <w:t>Pertanto, l’avanzo di amministrazione pre</w:t>
      </w:r>
      <w:r>
        <w:rPr>
          <w:rFonts w:ascii="DecimaWE Rg" w:hAnsi="DecimaWE Rg"/>
          <w:sz w:val="23"/>
          <w:szCs w:val="23"/>
        </w:rPr>
        <w:t>sunto applicato al bilancio 2015</w:t>
      </w:r>
      <w:r w:rsidRPr="007A0511">
        <w:rPr>
          <w:rFonts w:ascii="DecimaWE Rg" w:hAnsi="DecimaWE Rg"/>
          <w:sz w:val="23"/>
          <w:szCs w:val="23"/>
        </w:rPr>
        <w:t xml:space="preserve"> ammonta a </w:t>
      </w:r>
      <w:r>
        <w:rPr>
          <w:rFonts w:ascii="DecimaWE Rg" w:hAnsi="DecimaWE Rg"/>
          <w:sz w:val="23"/>
          <w:szCs w:val="23"/>
        </w:rPr>
        <w:t>2,26</w:t>
      </w:r>
      <w:r w:rsidRPr="007A0511">
        <w:rPr>
          <w:rFonts w:ascii="DecimaWE Rg" w:hAnsi="DecimaWE Rg"/>
          <w:sz w:val="23"/>
          <w:szCs w:val="23"/>
        </w:rPr>
        <w:t xml:space="preserve"> milioni di euro; tale quota è costituita </w:t>
      </w:r>
      <w:r>
        <w:rPr>
          <w:rFonts w:ascii="DecimaWE Rg" w:hAnsi="DecimaWE Rg"/>
          <w:sz w:val="23"/>
          <w:szCs w:val="23"/>
        </w:rPr>
        <w:t xml:space="preserve">in gran parte </w:t>
      </w:r>
      <w:r w:rsidRPr="007A0511">
        <w:rPr>
          <w:rFonts w:ascii="DecimaWE Rg" w:hAnsi="DecimaWE Rg"/>
          <w:sz w:val="23"/>
          <w:szCs w:val="23"/>
        </w:rPr>
        <w:t xml:space="preserve">dalla </w:t>
      </w:r>
      <w:proofErr w:type="spellStart"/>
      <w:r w:rsidRPr="007A0511">
        <w:rPr>
          <w:rFonts w:ascii="DecimaWE Rg" w:hAnsi="DecimaWE Rg"/>
          <w:sz w:val="23"/>
          <w:szCs w:val="23"/>
        </w:rPr>
        <w:t>reiscrizione</w:t>
      </w:r>
      <w:proofErr w:type="spellEnd"/>
      <w:r w:rsidRPr="007A0511">
        <w:rPr>
          <w:rFonts w:ascii="DecimaWE Rg" w:hAnsi="DecimaWE Rg"/>
          <w:sz w:val="23"/>
          <w:szCs w:val="23"/>
        </w:rPr>
        <w:t xml:space="preserve"> di fondi statali che, secondo le ordinarie regole contabili, confluiranno nelle economie di esercizio alla fine del 2014, e che è possibile </w:t>
      </w:r>
      <w:proofErr w:type="spellStart"/>
      <w:r>
        <w:rPr>
          <w:rFonts w:ascii="DecimaWE Rg" w:hAnsi="DecimaWE Rg"/>
          <w:sz w:val="23"/>
          <w:szCs w:val="23"/>
        </w:rPr>
        <w:t>reiscrivere</w:t>
      </w:r>
      <w:proofErr w:type="spellEnd"/>
      <w:r>
        <w:rPr>
          <w:rFonts w:ascii="DecimaWE Rg" w:hAnsi="DecimaWE Rg"/>
          <w:sz w:val="23"/>
          <w:szCs w:val="23"/>
        </w:rPr>
        <w:t xml:space="preserve"> ridestinandole </w:t>
      </w:r>
      <w:r w:rsidRPr="007A0511">
        <w:rPr>
          <w:rFonts w:ascii="DecimaWE Rg" w:hAnsi="DecimaWE Rg"/>
          <w:sz w:val="23"/>
          <w:szCs w:val="23"/>
        </w:rPr>
        <w:t xml:space="preserve">per le medesime finalità. </w:t>
      </w:r>
    </w:p>
    <w:p w:rsidR="00030C21" w:rsidRPr="007B6092" w:rsidRDefault="00030C21" w:rsidP="00030C21">
      <w:pPr>
        <w:spacing w:before="120"/>
        <w:jc w:val="both"/>
        <w:rPr>
          <w:rFonts w:ascii="DecimaWE Rg" w:hAnsi="DecimaWE Rg"/>
          <w:sz w:val="23"/>
          <w:szCs w:val="23"/>
        </w:rPr>
      </w:pPr>
    </w:p>
    <w:p w:rsidR="00030C21" w:rsidRPr="00DF381D" w:rsidRDefault="00030C21" w:rsidP="00030C21">
      <w:pPr>
        <w:spacing w:before="120"/>
        <w:jc w:val="both"/>
        <w:rPr>
          <w:rFonts w:ascii="DecimaWE Rg" w:hAnsi="DecimaWE Rg"/>
          <w:color w:val="0070C0"/>
          <w:sz w:val="23"/>
          <w:szCs w:val="23"/>
        </w:rPr>
      </w:pPr>
    </w:p>
    <w:bookmarkEnd w:id="9"/>
    <w:bookmarkEnd w:id="10"/>
    <w:bookmarkEnd w:id="11"/>
    <w:bookmarkEnd w:id="12"/>
    <w:bookmarkEnd w:id="13"/>
    <w:bookmarkEnd w:id="14"/>
    <w:bookmarkEnd w:id="15"/>
    <w:bookmarkEnd w:id="16"/>
    <w:bookmarkEnd w:id="17"/>
    <w:bookmarkEnd w:id="18"/>
    <w:bookmarkEnd w:id="19"/>
    <w:bookmarkEnd w:id="20"/>
    <w:p w:rsidR="00C51886" w:rsidRPr="00962E36" w:rsidRDefault="00C51886" w:rsidP="00C51886">
      <w:pPr>
        <w:pStyle w:val="Titolo2"/>
        <w:rPr>
          <w:rFonts w:ascii="DecimaWE Rg" w:hAnsi="DecimaWE Rg"/>
          <w:i w:val="0"/>
        </w:rPr>
      </w:pPr>
      <w:r w:rsidRPr="00962E36">
        <w:rPr>
          <w:rFonts w:ascii="DecimaWE Rg" w:hAnsi="DecimaWE Rg"/>
          <w:i w:val="0"/>
        </w:rPr>
        <w:t>IL QUADRO DELLE SPESE</w:t>
      </w:r>
    </w:p>
    <w:p w:rsidR="00C51886" w:rsidRPr="00962E36" w:rsidRDefault="00C51886" w:rsidP="00C51886">
      <w:pPr>
        <w:spacing w:before="120"/>
        <w:jc w:val="both"/>
        <w:rPr>
          <w:rFonts w:ascii="DecimaWE Rg" w:hAnsi="DecimaWE Rg"/>
          <w:sz w:val="23"/>
          <w:szCs w:val="23"/>
        </w:rPr>
      </w:pPr>
      <w:r w:rsidRPr="00962E36">
        <w:rPr>
          <w:rFonts w:ascii="DecimaWE Rg" w:hAnsi="DecimaWE Rg"/>
          <w:sz w:val="23"/>
          <w:szCs w:val="23"/>
        </w:rPr>
        <w:t>Le autorizzazioni di spesa previste per il triennio 201</w:t>
      </w:r>
      <w:r>
        <w:rPr>
          <w:rFonts w:ascii="DecimaWE Rg" w:hAnsi="DecimaWE Rg"/>
          <w:sz w:val="23"/>
          <w:szCs w:val="23"/>
        </w:rPr>
        <w:t>5</w:t>
      </w:r>
      <w:r w:rsidRPr="00962E36">
        <w:rPr>
          <w:rFonts w:ascii="DecimaWE Rg" w:hAnsi="DecimaWE Rg"/>
          <w:sz w:val="23"/>
          <w:szCs w:val="23"/>
        </w:rPr>
        <w:t xml:space="preserve"> – 201</w:t>
      </w:r>
      <w:r>
        <w:rPr>
          <w:rFonts w:ascii="DecimaWE Rg" w:hAnsi="DecimaWE Rg"/>
          <w:sz w:val="23"/>
          <w:szCs w:val="23"/>
        </w:rPr>
        <w:t>7</w:t>
      </w:r>
      <w:r w:rsidRPr="00962E36">
        <w:rPr>
          <w:rFonts w:ascii="DecimaWE Rg" w:hAnsi="DecimaWE Rg"/>
          <w:sz w:val="23"/>
          <w:szCs w:val="23"/>
        </w:rPr>
        <w:t xml:space="preserve"> ammontano a: </w:t>
      </w:r>
    </w:p>
    <w:p w:rsidR="00C51886" w:rsidRPr="00962E36" w:rsidRDefault="00C51886" w:rsidP="00C51886">
      <w:pPr>
        <w:numPr>
          <w:ilvl w:val="0"/>
          <w:numId w:val="8"/>
        </w:numPr>
        <w:spacing w:before="120"/>
        <w:ind w:left="720"/>
        <w:jc w:val="both"/>
        <w:rPr>
          <w:rFonts w:ascii="DecimaWE Rg" w:hAnsi="DecimaWE Rg"/>
          <w:sz w:val="23"/>
          <w:szCs w:val="23"/>
        </w:rPr>
      </w:pPr>
      <w:r>
        <w:rPr>
          <w:rFonts w:ascii="DecimaWE Rg" w:hAnsi="DecimaWE Rg"/>
          <w:sz w:val="23"/>
          <w:szCs w:val="23"/>
        </w:rPr>
        <w:t>6.783,48 milioni di euro nel 2015</w:t>
      </w:r>
      <w:r w:rsidRPr="00962E36">
        <w:rPr>
          <w:rFonts w:ascii="DecimaWE Rg" w:hAnsi="DecimaWE Rg"/>
          <w:sz w:val="23"/>
          <w:szCs w:val="23"/>
        </w:rPr>
        <w:t xml:space="preserve">, </w:t>
      </w:r>
    </w:p>
    <w:p w:rsidR="00C51886" w:rsidRPr="00962E36" w:rsidRDefault="00C51886" w:rsidP="00C51886">
      <w:pPr>
        <w:numPr>
          <w:ilvl w:val="0"/>
          <w:numId w:val="8"/>
        </w:numPr>
        <w:spacing w:before="120"/>
        <w:ind w:left="720"/>
        <w:jc w:val="both"/>
        <w:rPr>
          <w:rFonts w:ascii="DecimaWE Rg" w:hAnsi="DecimaWE Rg"/>
          <w:sz w:val="23"/>
          <w:szCs w:val="23"/>
        </w:rPr>
      </w:pPr>
      <w:r>
        <w:rPr>
          <w:rFonts w:ascii="DecimaWE Rg" w:hAnsi="DecimaWE Rg"/>
          <w:sz w:val="23"/>
          <w:szCs w:val="23"/>
        </w:rPr>
        <w:t>6.542,35 milioni di euro nel 2016</w:t>
      </w:r>
      <w:r w:rsidRPr="00962E36">
        <w:rPr>
          <w:rFonts w:ascii="DecimaWE Rg" w:hAnsi="DecimaWE Rg"/>
          <w:sz w:val="23"/>
          <w:szCs w:val="23"/>
        </w:rPr>
        <w:t>,</w:t>
      </w:r>
    </w:p>
    <w:p w:rsidR="00C51886" w:rsidRPr="00962E36" w:rsidRDefault="00C51886" w:rsidP="00C51886">
      <w:pPr>
        <w:numPr>
          <w:ilvl w:val="0"/>
          <w:numId w:val="8"/>
        </w:numPr>
        <w:spacing w:before="120"/>
        <w:ind w:left="720"/>
        <w:jc w:val="both"/>
        <w:rPr>
          <w:rFonts w:ascii="DecimaWE Rg" w:hAnsi="DecimaWE Rg"/>
          <w:sz w:val="23"/>
          <w:szCs w:val="23"/>
        </w:rPr>
      </w:pPr>
      <w:r>
        <w:rPr>
          <w:rFonts w:ascii="DecimaWE Rg" w:hAnsi="DecimaWE Rg"/>
          <w:sz w:val="23"/>
          <w:szCs w:val="23"/>
        </w:rPr>
        <w:t>6.529,38 milioni di euro nel 2017</w:t>
      </w:r>
      <w:r w:rsidRPr="00962E36">
        <w:rPr>
          <w:rFonts w:ascii="DecimaWE Rg" w:hAnsi="DecimaWE Rg"/>
          <w:sz w:val="23"/>
          <w:szCs w:val="23"/>
        </w:rPr>
        <w:t>.</w:t>
      </w:r>
    </w:p>
    <w:p w:rsidR="00C51886" w:rsidRPr="00962E36" w:rsidRDefault="00030C21" w:rsidP="00C51886">
      <w:pPr>
        <w:spacing w:before="120"/>
        <w:jc w:val="both"/>
        <w:rPr>
          <w:rFonts w:ascii="DecimaWE Rg" w:hAnsi="DecimaWE Rg"/>
          <w:sz w:val="23"/>
          <w:szCs w:val="23"/>
        </w:rPr>
      </w:pPr>
      <w:r w:rsidRPr="00C51886">
        <w:rPr>
          <w:rFonts w:ascii="DecimaWE Rg" w:hAnsi="DecimaWE Rg"/>
          <w:sz w:val="23"/>
          <w:szCs w:val="23"/>
        </w:rPr>
        <w:t xml:space="preserve">Nelle tabelle che seguono </w:t>
      </w:r>
      <w:r w:rsidR="00C51886" w:rsidRPr="00C51886">
        <w:rPr>
          <w:rFonts w:ascii="DecimaWE Rg" w:hAnsi="DecimaWE Rg"/>
          <w:sz w:val="23"/>
          <w:szCs w:val="23"/>
        </w:rPr>
        <w:t xml:space="preserve">vengono anteposti agli importi relativi al triennio 2015-2017, quale termine di </w:t>
      </w:r>
      <w:r w:rsidR="00C51886" w:rsidRPr="00962E36">
        <w:rPr>
          <w:rFonts w:ascii="DecimaWE Rg" w:hAnsi="DecimaWE Rg"/>
          <w:sz w:val="23"/>
          <w:szCs w:val="23"/>
        </w:rPr>
        <w:t xml:space="preserve">confronto, gli stanziamenti inizialmente autorizzati dal bilancio di previsione </w:t>
      </w:r>
      <w:r w:rsidR="00C51886">
        <w:rPr>
          <w:rFonts w:ascii="DecimaWE Rg" w:hAnsi="DecimaWE Rg"/>
          <w:sz w:val="23"/>
          <w:szCs w:val="23"/>
        </w:rPr>
        <w:t>per l’esercizio finanziario 2014</w:t>
      </w:r>
      <w:r w:rsidR="00C51886" w:rsidRPr="00962E36">
        <w:rPr>
          <w:rFonts w:ascii="DecimaWE Rg" w:hAnsi="DecimaWE Rg"/>
          <w:sz w:val="23"/>
          <w:szCs w:val="23"/>
        </w:rPr>
        <w:t>.</w:t>
      </w:r>
    </w:p>
    <w:p w:rsidR="00C51886" w:rsidRDefault="00C51886" w:rsidP="00C51886">
      <w:pPr>
        <w:spacing w:before="120"/>
        <w:jc w:val="both"/>
        <w:rPr>
          <w:rFonts w:ascii="DecimaWE Rg" w:hAnsi="DecimaWE Rg"/>
          <w:sz w:val="23"/>
          <w:szCs w:val="23"/>
        </w:rPr>
      </w:pPr>
      <w:r w:rsidRPr="00962E36">
        <w:rPr>
          <w:rFonts w:ascii="DecimaWE Rg" w:hAnsi="DecimaWE Rg"/>
          <w:sz w:val="23"/>
          <w:szCs w:val="23"/>
        </w:rPr>
        <w:t>La sottostante tabella contiene la sintesi, in milioni di euro, delle autorizzazioni di spesa distinte per titolo:</w:t>
      </w:r>
    </w:p>
    <w:p w:rsidR="00C51886" w:rsidRPr="00962E36" w:rsidRDefault="00C51886" w:rsidP="00C51886">
      <w:pPr>
        <w:spacing w:before="120"/>
        <w:jc w:val="both"/>
        <w:rPr>
          <w:rFonts w:ascii="DecimaWE Rg" w:hAnsi="DecimaWE Rg"/>
          <w:sz w:val="23"/>
          <w:szCs w:val="23"/>
        </w:rPr>
      </w:pPr>
    </w:p>
    <w:tbl>
      <w:tblPr>
        <w:tblW w:w="8022" w:type="dxa"/>
        <w:tblInd w:w="57" w:type="dxa"/>
        <w:tblCellMar>
          <w:left w:w="70" w:type="dxa"/>
          <w:right w:w="70" w:type="dxa"/>
        </w:tblCellMar>
        <w:tblLook w:val="0000" w:firstRow="0" w:lastRow="0" w:firstColumn="0" w:lastColumn="0" w:noHBand="0" w:noVBand="0"/>
      </w:tblPr>
      <w:tblGrid>
        <w:gridCol w:w="3214"/>
        <w:gridCol w:w="1202"/>
        <w:gridCol w:w="1202"/>
        <w:gridCol w:w="1202"/>
        <w:gridCol w:w="1202"/>
      </w:tblGrid>
      <w:tr w:rsidR="00C51886" w:rsidRPr="00C51886" w:rsidTr="00C51886">
        <w:trPr>
          <w:trHeight w:val="390"/>
        </w:trPr>
        <w:tc>
          <w:tcPr>
            <w:tcW w:w="3214" w:type="dxa"/>
            <w:tcBorders>
              <w:top w:val="single" w:sz="4" w:space="0" w:color="auto"/>
              <w:left w:val="single" w:sz="4" w:space="0" w:color="auto"/>
              <w:bottom w:val="single" w:sz="4" w:space="0" w:color="auto"/>
              <w:right w:val="nil"/>
            </w:tcBorders>
            <w:shd w:val="clear" w:color="auto" w:fill="auto"/>
            <w:vAlign w:val="center"/>
          </w:tcPr>
          <w:p w:rsidR="00C51886" w:rsidRPr="00C51886" w:rsidRDefault="00C51886" w:rsidP="00232369">
            <w:pPr>
              <w:jc w:val="center"/>
              <w:rPr>
                <w:rFonts w:ascii="DecimaWE Rg" w:hAnsi="DecimaWE Rg" w:cs="Arial"/>
                <w:b/>
                <w:bCs/>
                <w:sz w:val="20"/>
                <w:szCs w:val="20"/>
              </w:rPr>
            </w:pPr>
            <w:r w:rsidRPr="00C51886">
              <w:rPr>
                <w:rFonts w:ascii="DecimaWE Rg" w:hAnsi="DecimaWE Rg" w:cs="Arial"/>
                <w:b/>
                <w:bCs/>
                <w:sz w:val="20"/>
                <w:szCs w:val="20"/>
              </w:rPr>
              <w:t>Titolo</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C51886" w:rsidRPr="00C51886" w:rsidRDefault="00C51886" w:rsidP="00232369">
            <w:pPr>
              <w:jc w:val="center"/>
              <w:rPr>
                <w:rFonts w:ascii="DecimaWE Rg" w:hAnsi="DecimaWE Rg" w:cs="Arial"/>
                <w:b/>
                <w:bCs/>
                <w:sz w:val="20"/>
                <w:szCs w:val="20"/>
              </w:rPr>
            </w:pPr>
            <w:r w:rsidRPr="00C51886">
              <w:rPr>
                <w:rFonts w:ascii="DecimaWE Rg" w:hAnsi="DecimaWE Rg" w:cs="Arial"/>
                <w:b/>
                <w:bCs/>
                <w:sz w:val="20"/>
                <w:szCs w:val="20"/>
              </w:rPr>
              <w:t>2014 iniziale</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C51886" w:rsidRPr="00C51886" w:rsidRDefault="00C51886" w:rsidP="00232369">
            <w:pPr>
              <w:jc w:val="center"/>
              <w:rPr>
                <w:rFonts w:ascii="DecimaWE Rg" w:hAnsi="DecimaWE Rg" w:cs="Arial"/>
                <w:b/>
                <w:bCs/>
                <w:sz w:val="20"/>
                <w:szCs w:val="20"/>
              </w:rPr>
            </w:pPr>
            <w:r w:rsidRPr="00C51886">
              <w:rPr>
                <w:rFonts w:ascii="DecimaWE Rg" w:hAnsi="DecimaWE Rg" w:cs="Arial"/>
                <w:b/>
                <w:bCs/>
                <w:sz w:val="20"/>
                <w:szCs w:val="20"/>
              </w:rPr>
              <w:t>2015</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C51886" w:rsidRPr="00C51886" w:rsidRDefault="00C51886" w:rsidP="00232369">
            <w:pPr>
              <w:jc w:val="center"/>
              <w:rPr>
                <w:rFonts w:ascii="DecimaWE Rg" w:hAnsi="DecimaWE Rg" w:cs="Arial"/>
                <w:b/>
                <w:bCs/>
                <w:sz w:val="20"/>
                <w:szCs w:val="20"/>
              </w:rPr>
            </w:pPr>
            <w:r w:rsidRPr="00C51886">
              <w:rPr>
                <w:rFonts w:ascii="DecimaWE Rg" w:hAnsi="DecimaWE Rg" w:cs="Arial"/>
                <w:b/>
                <w:bCs/>
                <w:sz w:val="20"/>
                <w:szCs w:val="20"/>
              </w:rPr>
              <w:t>2016</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C51886" w:rsidRPr="00C51886" w:rsidRDefault="00C51886" w:rsidP="00232369">
            <w:pPr>
              <w:jc w:val="center"/>
              <w:rPr>
                <w:rFonts w:ascii="DecimaWE Rg" w:hAnsi="DecimaWE Rg" w:cs="Arial"/>
                <w:b/>
                <w:bCs/>
                <w:sz w:val="20"/>
                <w:szCs w:val="20"/>
              </w:rPr>
            </w:pPr>
            <w:r w:rsidRPr="00C51886">
              <w:rPr>
                <w:rFonts w:ascii="DecimaWE Rg" w:hAnsi="DecimaWE Rg" w:cs="Arial"/>
                <w:b/>
                <w:bCs/>
                <w:sz w:val="20"/>
                <w:szCs w:val="20"/>
              </w:rPr>
              <w:t>2017</w:t>
            </w:r>
          </w:p>
        </w:tc>
      </w:tr>
      <w:tr w:rsidR="00C51886" w:rsidRPr="00C51886" w:rsidTr="00C51886">
        <w:trPr>
          <w:trHeight w:val="270"/>
        </w:trPr>
        <w:tc>
          <w:tcPr>
            <w:tcW w:w="3214" w:type="dxa"/>
            <w:tcBorders>
              <w:top w:val="nil"/>
              <w:left w:val="single" w:sz="4" w:space="0" w:color="auto"/>
              <w:bottom w:val="single" w:sz="4" w:space="0" w:color="auto"/>
              <w:right w:val="single" w:sz="4" w:space="0" w:color="auto"/>
            </w:tcBorders>
            <w:vAlign w:val="center"/>
          </w:tcPr>
          <w:p w:rsidR="00C51886" w:rsidRPr="00C51886" w:rsidRDefault="00C51886" w:rsidP="00232369">
            <w:pPr>
              <w:rPr>
                <w:rFonts w:ascii="DecimaWE Rg" w:hAnsi="DecimaWE Rg" w:cs="Arial"/>
                <w:bCs/>
                <w:sz w:val="20"/>
                <w:szCs w:val="20"/>
              </w:rPr>
            </w:pPr>
            <w:r w:rsidRPr="00C51886">
              <w:rPr>
                <w:rFonts w:ascii="DecimaWE Rg" w:hAnsi="DecimaWE Rg" w:cs="Arial"/>
                <w:bCs/>
                <w:sz w:val="20"/>
                <w:szCs w:val="20"/>
              </w:rPr>
              <w:t>1 - Spese correnti</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4.492,32</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5.325,15</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5.134,47</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5.143,23</w:t>
            </w:r>
          </w:p>
        </w:tc>
      </w:tr>
      <w:tr w:rsidR="00C51886" w:rsidRPr="00C51886" w:rsidTr="00C51886">
        <w:trPr>
          <w:trHeight w:val="270"/>
        </w:trPr>
        <w:tc>
          <w:tcPr>
            <w:tcW w:w="3214" w:type="dxa"/>
            <w:tcBorders>
              <w:top w:val="nil"/>
              <w:left w:val="single" w:sz="4" w:space="0" w:color="auto"/>
              <w:bottom w:val="single" w:sz="4" w:space="0" w:color="auto"/>
              <w:right w:val="single" w:sz="4" w:space="0" w:color="auto"/>
            </w:tcBorders>
            <w:vAlign w:val="center"/>
          </w:tcPr>
          <w:p w:rsidR="00C51886" w:rsidRPr="00C51886" w:rsidRDefault="00C51886" w:rsidP="00232369">
            <w:pPr>
              <w:rPr>
                <w:rFonts w:ascii="DecimaWE Rg" w:hAnsi="DecimaWE Rg" w:cs="Arial"/>
                <w:bCs/>
                <w:sz w:val="20"/>
                <w:szCs w:val="20"/>
              </w:rPr>
            </w:pPr>
            <w:r w:rsidRPr="00C51886">
              <w:rPr>
                <w:rFonts w:ascii="DecimaWE Rg" w:hAnsi="DecimaWE Rg" w:cs="Arial"/>
                <w:bCs/>
                <w:sz w:val="20"/>
                <w:szCs w:val="20"/>
              </w:rPr>
              <w:t>2 - Spese d'investimento</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468,56</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1.140,11</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1.113,45</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1.101,69</w:t>
            </w:r>
          </w:p>
        </w:tc>
      </w:tr>
      <w:tr w:rsidR="00C51886" w:rsidRPr="00C51886" w:rsidTr="00C51886">
        <w:trPr>
          <w:trHeight w:val="270"/>
        </w:trPr>
        <w:tc>
          <w:tcPr>
            <w:tcW w:w="3214" w:type="dxa"/>
            <w:tcBorders>
              <w:top w:val="nil"/>
              <w:left w:val="single" w:sz="4" w:space="0" w:color="auto"/>
              <w:bottom w:val="single" w:sz="4" w:space="0" w:color="auto"/>
              <w:right w:val="single" w:sz="4" w:space="0" w:color="auto"/>
            </w:tcBorders>
            <w:vAlign w:val="center"/>
          </w:tcPr>
          <w:p w:rsidR="00C51886" w:rsidRPr="00C51886" w:rsidRDefault="00C51886" w:rsidP="00232369">
            <w:pPr>
              <w:rPr>
                <w:rFonts w:ascii="DecimaWE Rg" w:hAnsi="DecimaWE Rg" w:cs="Arial"/>
                <w:bCs/>
                <w:sz w:val="20"/>
                <w:szCs w:val="20"/>
              </w:rPr>
            </w:pPr>
            <w:r w:rsidRPr="00C51886">
              <w:rPr>
                <w:rFonts w:ascii="DecimaWE Rg" w:hAnsi="DecimaWE Rg" w:cs="Arial"/>
                <w:bCs/>
                <w:sz w:val="20"/>
                <w:szCs w:val="20"/>
              </w:rPr>
              <w:t>3 - Rimborso mutui</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193,77</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204,60</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181,30</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171,34</w:t>
            </w:r>
          </w:p>
        </w:tc>
      </w:tr>
      <w:tr w:rsidR="00C51886" w:rsidRPr="00C51886" w:rsidTr="00C51886">
        <w:trPr>
          <w:trHeight w:val="270"/>
        </w:trPr>
        <w:tc>
          <w:tcPr>
            <w:tcW w:w="3214" w:type="dxa"/>
            <w:tcBorders>
              <w:left w:val="single" w:sz="4" w:space="0" w:color="auto"/>
              <w:bottom w:val="single" w:sz="4" w:space="0" w:color="auto"/>
              <w:right w:val="single" w:sz="4" w:space="0" w:color="auto"/>
            </w:tcBorders>
            <w:vAlign w:val="center"/>
          </w:tcPr>
          <w:p w:rsidR="00C51886" w:rsidRPr="00C51886" w:rsidRDefault="00C51886" w:rsidP="00232369">
            <w:pPr>
              <w:rPr>
                <w:rFonts w:ascii="DecimaWE Rg" w:hAnsi="DecimaWE Rg" w:cs="Arial"/>
                <w:b/>
                <w:bCs/>
                <w:sz w:val="20"/>
                <w:szCs w:val="20"/>
              </w:rPr>
            </w:pPr>
            <w:r w:rsidRPr="00C51886">
              <w:rPr>
                <w:rFonts w:ascii="DecimaWE Rg" w:hAnsi="DecimaWE Rg" w:cs="Arial"/>
                <w:bCs/>
                <w:sz w:val="20"/>
                <w:szCs w:val="20"/>
              </w:rPr>
              <w:t>4 - Partite di giro</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1.560,19</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113,62</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113,12</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sz w:val="20"/>
                <w:szCs w:val="20"/>
              </w:rPr>
            </w:pPr>
            <w:r w:rsidRPr="00C51886">
              <w:rPr>
                <w:rFonts w:ascii="DecimaWE Rg" w:hAnsi="DecimaWE Rg" w:cs="Calibri"/>
                <w:sz w:val="20"/>
                <w:szCs w:val="20"/>
              </w:rPr>
              <w:t>113,12</w:t>
            </w:r>
          </w:p>
        </w:tc>
      </w:tr>
      <w:tr w:rsidR="00C51886" w:rsidRPr="00C51886" w:rsidTr="00C51886">
        <w:trPr>
          <w:trHeight w:val="390"/>
        </w:trPr>
        <w:tc>
          <w:tcPr>
            <w:tcW w:w="3214" w:type="dxa"/>
            <w:tcBorders>
              <w:top w:val="nil"/>
              <w:left w:val="nil"/>
              <w:bottom w:val="nil"/>
              <w:right w:val="nil"/>
            </w:tcBorders>
            <w:shd w:val="clear" w:color="auto" w:fill="auto"/>
            <w:vAlign w:val="center"/>
          </w:tcPr>
          <w:p w:rsidR="00C51886" w:rsidRPr="00C51886" w:rsidRDefault="00C51886" w:rsidP="00232369">
            <w:pPr>
              <w:rPr>
                <w:rFonts w:ascii="DecimaWE Rg" w:hAnsi="DecimaWE Rg" w:cs="Arial"/>
                <w:b/>
                <w:sz w:val="20"/>
                <w:szCs w:val="20"/>
              </w:rPr>
            </w:pPr>
            <w:r w:rsidRPr="00C51886">
              <w:rPr>
                <w:rFonts w:ascii="DecimaWE Rg" w:hAnsi="DecimaWE Rg" w:cs="Arial"/>
                <w:b/>
                <w:sz w:val="20"/>
                <w:szCs w:val="20"/>
              </w:rPr>
              <w:t>Totale</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b/>
                <w:sz w:val="20"/>
                <w:szCs w:val="20"/>
              </w:rPr>
            </w:pPr>
            <w:r w:rsidRPr="00C51886">
              <w:rPr>
                <w:rFonts w:ascii="DecimaWE Rg" w:hAnsi="DecimaWE Rg" w:cs="Calibri"/>
                <w:b/>
                <w:sz w:val="20"/>
                <w:szCs w:val="20"/>
              </w:rPr>
              <w:t>6.714,85</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b/>
                <w:sz w:val="20"/>
                <w:szCs w:val="20"/>
              </w:rPr>
            </w:pPr>
            <w:r w:rsidRPr="00C51886">
              <w:rPr>
                <w:rFonts w:ascii="DecimaWE Rg" w:hAnsi="DecimaWE Rg" w:cs="Calibri"/>
                <w:b/>
                <w:sz w:val="20"/>
                <w:szCs w:val="20"/>
              </w:rPr>
              <w:t>6.783,48</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b/>
                <w:sz w:val="20"/>
                <w:szCs w:val="20"/>
              </w:rPr>
            </w:pPr>
            <w:r w:rsidRPr="00C51886">
              <w:rPr>
                <w:rFonts w:ascii="DecimaWE Rg" w:hAnsi="DecimaWE Rg" w:cs="Calibri"/>
                <w:b/>
                <w:sz w:val="20"/>
                <w:szCs w:val="20"/>
              </w:rPr>
              <w:t>6.542,35</w:t>
            </w:r>
          </w:p>
        </w:tc>
        <w:tc>
          <w:tcPr>
            <w:tcW w:w="1202" w:type="dxa"/>
            <w:tcBorders>
              <w:top w:val="nil"/>
              <w:left w:val="nil"/>
              <w:bottom w:val="single" w:sz="4" w:space="0" w:color="auto"/>
              <w:right w:val="single" w:sz="4" w:space="0" w:color="auto"/>
            </w:tcBorders>
            <w:shd w:val="clear" w:color="auto" w:fill="auto"/>
            <w:noWrap/>
            <w:vAlign w:val="bottom"/>
          </w:tcPr>
          <w:p w:rsidR="00C51886" w:rsidRPr="00C51886" w:rsidRDefault="00C51886" w:rsidP="00232369">
            <w:pPr>
              <w:jc w:val="right"/>
              <w:rPr>
                <w:rFonts w:ascii="DecimaWE Rg" w:hAnsi="DecimaWE Rg" w:cs="Calibri"/>
                <w:b/>
                <w:sz w:val="20"/>
                <w:szCs w:val="20"/>
              </w:rPr>
            </w:pPr>
            <w:r w:rsidRPr="00C51886">
              <w:rPr>
                <w:rFonts w:ascii="DecimaWE Rg" w:hAnsi="DecimaWE Rg" w:cs="Calibri"/>
                <w:b/>
                <w:sz w:val="20"/>
                <w:szCs w:val="20"/>
              </w:rPr>
              <w:t>6.529,38</w:t>
            </w:r>
          </w:p>
        </w:tc>
      </w:tr>
    </w:tbl>
    <w:p w:rsidR="00C51886" w:rsidRDefault="00C51886" w:rsidP="00030C21">
      <w:pPr>
        <w:spacing w:before="120"/>
        <w:jc w:val="both"/>
        <w:rPr>
          <w:rFonts w:ascii="DecimaWE Rg" w:hAnsi="DecimaWE Rg"/>
          <w:color w:val="0070C0"/>
          <w:sz w:val="23"/>
          <w:szCs w:val="23"/>
        </w:rPr>
      </w:pPr>
    </w:p>
    <w:p w:rsidR="00C51886" w:rsidRPr="00962E36" w:rsidRDefault="00C51886" w:rsidP="00C51886">
      <w:pPr>
        <w:pStyle w:val="Titolo3"/>
        <w:jc w:val="both"/>
        <w:rPr>
          <w:rFonts w:ascii="DecimaWE Rg" w:hAnsi="DecimaWE Rg"/>
        </w:rPr>
      </w:pPr>
      <w:r>
        <w:rPr>
          <w:rFonts w:ascii="DecimaWE Rg" w:hAnsi="DecimaWE Rg"/>
        </w:rPr>
        <w:lastRenderedPageBreak/>
        <w:t>Commento generale agli andamenti degli stanziamenti di spesa</w:t>
      </w:r>
    </w:p>
    <w:p w:rsidR="00C51886" w:rsidRDefault="00C51886" w:rsidP="00C51886">
      <w:pPr>
        <w:spacing w:before="120"/>
        <w:jc w:val="both"/>
        <w:rPr>
          <w:rFonts w:ascii="DecimaWE Rg" w:hAnsi="DecimaWE Rg"/>
          <w:sz w:val="23"/>
          <w:szCs w:val="23"/>
        </w:rPr>
      </w:pPr>
      <w:r>
        <w:rPr>
          <w:rFonts w:ascii="DecimaWE Rg" w:hAnsi="DecimaWE Rg"/>
          <w:sz w:val="23"/>
          <w:szCs w:val="23"/>
        </w:rPr>
        <w:t>Il</w:t>
      </w:r>
      <w:r w:rsidRPr="004D3B27">
        <w:rPr>
          <w:rFonts w:ascii="DecimaWE Rg" w:hAnsi="DecimaWE Rg"/>
          <w:sz w:val="23"/>
          <w:szCs w:val="23"/>
        </w:rPr>
        <w:t xml:space="preserve"> bilancio di previsione</w:t>
      </w:r>
      <w:r w:rsidRPr="005F0AF0">
        <w:rPr>
          <w:rFonts w:ascii="DecimaWE Rg" w:hAnsi="DecimaWE Rg"/>
          <w:sz w:val="23"/>
          <w:szCs w:val="23"/>
        </w:rPr>
        <w:t xml:space="preserve"> 2015 si presenta con disponibilità finanziarie complessive sostanzialmente in linea con </w:t>
      </w:r>
      <w:r>
        <w:rPr>
          <w:rFonts w:ascii="DecimaWE Rg" w:hAnsi="DecimaWE Rg"/>
          <w:sz w:val="23"/>
          <w:szCs w:val="23"/>
        </w:rPr>
        <w:t>il bilancio di previsione 2014, quando si ripristini l’omogeneità di classificazione rispetto all’esercizio precedente (si rinvia a quanto precedentemente esposto).</w:t>
      </w:r>
    </w:p>
    <w:p w:rsidR="00C51886" w:rsidRPr="005F0AF0" w:rsidRDefault="00C51886" w:rsidP="00C51886">
      <w:pPr>
        <w:spacing w:before="120"/>
        <w:jc w:val="both"/>
        <w:rPr>
          <w:rFonts w:ascii="DecimaWE Rg" w:hAnsi="DecimaWE Rg"/>
          <w:sz w:val="23"/>
          <w:szCs w:val="23"/>
        </w:rPr>
      </w:pPr>
      <w:r>
        <w:rPr>
          <w:rFonts w:ascii="DecimaWE Rg" w:hAnsi="DecimaWE Rg"/>
          <w:sz w:val="23"/>
          <w:szCs w:val="23"/>
        </w:rPr>
        <w:t>Grazie all’effetto combinato di</w:t>
      </w:r>
      <w:r w:rsidRPr="005F0AF0">
        <w:rPr>
          <w:rFonts w:ascii="DecimaWE Rg" w:hAnsi="DecimaWE Rg"/>
          <w:sz w:val="23"/>
          <w:szCs w:val="23"/>
        </w:rPr>
        <w:t xml:space="preserve"> misure di razionalizzazione e di revisione della spesa</w:t>
      </w:r>
      <w:r>
        <w:rPr>
          <w:rFonts w:ascii="DecimaWE Rg" w:hAnsi="DecimaWE Rg"/>
          <w:sz w:val="23"/>
          <w:szCs w:val="23"/>
        </w:rPr>
        <w:t>,</w:t>
      </w:r>
      <w:r w:rsidRPr="005F0AF0">
        <w:rPr>
          <w:rFonts w:ascii="DecimaWE Rg" w:hAnsi="DecimaWE Rg"/>
          <w:sz w:val="23"/>
          <w:szCs w:val="23"/>
        </w:rPr>
        <w:t xml:space="preserve"> </w:t>
      </w:r>
      <w:r>
        <w:rPr>
          <w:rFonts w:ascii="DecimaWE Rg" w:hAnsi="DecimaWE Rg"/>
          <w:sz w:val="23"/>
          <w:szCs w:val="23"/>
        </w:rPr>
        <w:t>è stato possibile destinare congrue risorse ai seguenti interventi</w:t>
      </w:r>
      <w:r w:rsidRPr="005F0AF0">
        <w:rPr>
          <w:rFonts w:ascii="DecimaWE Rg" w:hAnsi="DecimaWE Rg"/>
          <w:sz w:val="23"/>
          <w:szCs w:val="23"/>
        </w:rPr>
        <w:t xml:space="preserve"> ritenuti strategici:</w:t>
      </w:r>
    </w:p>
    <w:p w:rsidR="00C51886" w:rsidRPr="000E58A9" w:rsidRDefault="00C51886" w:rsidP="00C51886">
      <w:pPr>
        <w:spacing w:before="120"/>
        <w:jc w:val="both"/>
        <w:rPr>
          <w:rFonts w:ascii="DecimaWE Rg" w:hAnsi="DecimaWE Rg"/>
          <w:sz w:val="23"/>
          <w:szCs w:val="23"/>
        </w:rPr>
      </w:pPr>
      <w:r w:rsidRPr="00F0568C">
        <w:rPr>
          <w:rFonts w:ascii="DecimaWE Rg" w:hAnsi="DecimaWE Rg"/>
          <w:sz w:val="23"/>
          <w:szCs w:val="23"/>
        </w:rPr>
        <w:t xml:space="preserve">In tema di </w:t>
      </w:r>
      <w:r w:rsidRPr="00F0568C">
        <w:rPr>
          <w:rFonts w:ascii="DecimaWE Rg" w:hAnsi="DecimaWE Rg"/>
          <w:sz w:val="23"/>
          <w:szCs w:val="23"/>
          <w:u w:val="single"/>
        </w:rPr>
        <w:t>attività economiche</w:t>
      </w:r>
      <w:r w:rsidRPr="00F0568C">
        <w:rPr>
          <w:rFonts w:ascii="DecimaWE Rg" w:hAnsi="DecimaWE Rg"/>
          <w:sz w:val="23"/>
          <w:szCs w:val="23"/>
        </w:rPr>
        <w:t xml:space="preserve"> vengono mantenuti complessivamente i livelli di finanziamento del 2014. A questi si sommano 12 </w:t>
      </w:r>
      <w:proofErr w:type="spellStart"/>
      <w:r w:rsidRPr="00F0568C">
        <w:rPr>
          <w:rFonts w:ascii="DecimaWE Rg" w:hAnsi="DecimaWE Rg"/>
          <w:sz w:val="23"/>
          <w:szCs w:val="23"/>
        </w:rPr>
        <w:t>mil</w:t>
      </w:r>
      <w:proofErr w:type="spellEnd"/>
      <w:r w:rsidRPr="00F0568C">
        <w:rPr>
          <w:rFonts w:ascii="DecimaWE Rg" w:hAnsi="DecimaWE Rg"/>
          <w:sz w:val="23"/>
          <w:szCs w:val="23"/>
        </w:rPr>
        <w:t xml:space="preserve"> €, a valere sul Fondo europeo di sviluppo regionale 2014-2020, per investimenti mirati alla ricerca, sviluppo tecnologico, innovazione e competitività delle PMI. Inoltre vengono predisposte le coperture finanziarie per le diverse misure che saranno previste dal DDL “</w:t>
      </w:r>
      <w:r w:rsidRPr="00F0568C">
        <w:rPr>
          <w:rFonts w:ascii="DecimaWE Rg" w:hAnsi="DecimaWE Rg"/>
          <w:i/>
          <w:sz w:val="23"/>
          <w:szCs w:val="23"/>
        </w:rPr>
        <w:t>Piano industriale del territorio regionale</w:t>
      </w:r>
      <w:r w:rsidRPr="00F0568C">
        <w:rPr>
          <w:rFonts w:ascii="DecimaWE Rg" w:hAnsi="DecimaWE Rg"/>
          <w:sz w:val="23"/>
          <w:szCs w:val="23"/>
        </w:rPr>
        <w:t xml:space="preserve">” (34 </w:t>
      </w:r>
      <w:proofErr w:type="spellStart"/>
      <w:r w:rsidRPr="00F0568C">
        <w:rPr>
          <w:rFonts w:ascii="DecimaWE Rg" w:hAnsi="DecimaWE Rg"/>
          <w:sz w:val="23"/>
          <w:szCs w:val="23"/>
        </w:rPr>
        <w:t>mil</w:t>
      </w:r>
      <w:proofErr w:type="spellEnd"/>
      <w:r w:rsidRPr="00F0568C">
        <w:rPr>
          <w:rFonts w:ascii="DecimaWE Rg" w:hAnsi="DecimaWE Rg"/>
          <w:sz w:val="23"/>
          <w:szCs w:val="23"/>
        </w:rPr>
        <w:t xml:space="preserve"> € tra risorse allocate nell’esercizio 2014 e in previsione 2015 a fondo globale).</w:t>
      </w:r>
      <w:r>
        <w:rPr>
          <w:rFonts w:ascii="DecimaWE Rg" w:hAnsi="DecimaWE Rg"/>
          <w:sz w:val="23"/>
          <w:szCs w:val="23"/>
        </w:rPr>
        <w:t xml:space="preserve"> </w:t>
      </w:r>
    </w:p>
    <w:p w:rsidR="00C51886" w:rsidRPr="00211024" w:rsidRDefault="00C51886" w:rsidP="00C51886">
      <w:pPr>
        <w:spacing w:before="120"/>
        <w:jc w:val="both"/>
        <w:rPr>
          <w:rFonts w:ascii="DecimaWE Rg" w:hAnsi="DecimaWE Rg"/>
          <w:sz w:val="23"/>
          <w:szCs w:val="23"/>
        </w:rPr>
      </w:pPr>
      <w:r w:rsidRPr="00211024">
        <w:rPr>
          <w:rFonts w:ascii="DecimaWE Rg" w:hAnsi="DecimaWE Rg"/>
          <w:sz w:val="23"/>
          <w:szCs w:val="23"/>
        </w:rPr>
        <w:t xml:space="preserve">In tema di </w:t>
      </w:r>
      <w:r w:rsidRPr="00211024">
        <w:rPr>
          <w:rFonts w:ascii="DecimaWE Rg" w:hAnsi="DecimaWE Rg"/>
          <w:sz w:val="23"/>
          <w:szCs w:val="23"/>
          <w:u w:val="single"/>
        </w:rPr>
        <w:t>tutela dell’ambiente e difesa del territorio</w:t>
      </w:r>
      <w:r w:rsidRPr="00211024">
        <w:rPr>
          <w:rFonts w:ascii="DecimaWE Rg" w:hAnsi="DecimaWE Rg"/>
          <w:sz w:val="23"/>
          <w:szCs w:val="23"/>
        </w:rPr>
        <w:t xml:space="preserve"> vengono garantiti i finanziamenti per la manutenzione ordinaria di opere idrauliche e degli alvei dei corsi d’acqua, per la gestione dei parchi e delle riserve naturali, oltre al fondo per la protezione civile.</w:t>
      </w:r>
    </w:p>
    <w:p w:rsidR="00C51886" w:rsidRPr="007163F2" w:rsidRDefault="00C51886" w:rsidP="00C51886">
      <w:pPr>
        <w:spacing w:before="120"/>
        <w:jc w:val="both"/>
        <w:rPr>
          <w:rFonts w:ascii="DecimaWE Rg" w:hAnsi="DecimaWE Rg"/>
          <w:sz w:val="23"/>
          <w:szCs w:val="23"/>
        </w:rPr>
      </w:pPr>
      <w:r w:rsidRPr="007163F2">
        <w:rPr>
          <w:rFonts w:ascii="DecimaWE Rg" w:hAnsi="DecimaWE Rg"/>
          <w:sz w:val="23"/>
          <w:szCs w:val="23"/>
        </w:rPr>
        <w:t xml:space="preserve">In tema di </w:t>
      </w:r>
      <w:r w:rsidRPr="007163F2">
        <w:rPr>
          <w:rFonts w:ascii="DecimaWE Rg" w:hAnsi="DecimaWE Rg"/>
          <w:sz w:val="23"/>
          <w:szCs w:val="23"/>
          <w:u w:val="single"/>
        </w:rPr>
        <w:t>mobilità locale</w:t>
      </w:r>
      <w:r w:rsidRPr="007163F2">
        <w:rPr>
          <w:rFonts w:ascii="DecimaWE Rg" w:hAnsi="DecimaWE Rg"/>
          <w:sz w:val="23"/>
          <w:szCs w:val="23"/>
        </w:rPr>
        <w:t xml:space="preserve"> vengono garantiti i finanziamenti per i servizi relativi al trasporto pubblico locale e per i servizi ferroviari; viene confermato il sostegno all’acquisto di carburante per autotrazione privata per la mobilità su strada (L.R. 14/2010).</w:t>
      </w:r>
    </w:p>
    <w:p w:rsidR="00C51886" w:rsidRPr="009378AE" w:rsidRDefault="00C51886" w:rsidP="00C51886">
      <w:pPr>
        <w:spacing w:before="120"/>
        <w:jc w:val="both"/>
        <w:rPr>
          <w:rFonts w:ascii="DecimaWE Rg" w:hAnsi="DecimaWE Rg"/>
          <w:sz w:val="23"/>
          <w:szCs w:val="23"/>
        </w:rPr>
      </w:pPr>
      <w:r w:rsidRPr="009378AE">
        <w:rPr>
          <w:rFonts w:ascii="DecimaWE Rg" w:hAnsi="DecimaWE Rg"/>
          <w:sz w:val="23"/>
          <w:szCs w:val="23"/>
        </w:rPr>
        <w:t xml:space="preserve">In tema di </w:t>
      </w:r>
      <w:r w:rsidRPr="009378AE">
        <w:rPr>
          <w:rFonts w:ascii="DecimaWE Rg" w:hAnsi="DecimaWE Rg"/>
          <w:sz w:val="23"/>
          <w:szCs w:val="23"/>
          <w:u w:val="single"/>
        </w:rPr>
        <w:t>infrastrutture e trasporti</w:t>
      </w:r>
      <w:r w:rsidRPr="009378AE">
        <w:rPr>
          <w:rFonts w:ascii="DecimaWE Rg" w:hAnsi="DecimaWE Rg"/>
          <w:sz w:val="23"/>
          <w:szCs w:val="23"/>
        </w:rPr>
        <w:t xml:space="preserve"> si segnalano finanziamenti per la manutenzione ordinaria e straordinaria stradale da parte di FVG Strade spa, per la portualità e la logistica, oltre al supporto del servizio di trasporto aeroportuale dallo scalo regionale verso gli aeroporti nazionali e</w:t>
      </w:r>
      <w:r>
        <w:rPr>
          <w:rFonts w:ascii="DecimaWE Rg" w:hAnsi="DecimaWE Rg"/>
          <w:sz w:val="23"/>
          <w:szCs w:val="23"/>
        </w:rPr>
        <w:t>d</w:t>
      </w:r>
      <w:r w:rsidRPr="009378AE">
        <w:rPr>
          <w:rFonts w:ascii="DecimaWE Rg" w:hAnsi="DecimaWE Rg"/>
          <w:sz w:val="23"/>
          <w:szCs w:val="23"/>
        </w:rPr>
        <w:t xml:space="preserve"> un impulso ai servizi di linea tra i porti FVG-Slovenia-Croazia. Per quanto concerne le infrastrutture di telecomunicazioni, prosegue il progra</w:t>
      </w:r>
      <w:r>
        <w:rPr>
          <w:rFonts w:ascii="DecimaWE Rg" w:hAnsi="DecimaWE Rg"/>
          <w:sz w:val="23"/>
          <w:szCs w:val="23"/>
        </w:rPr>
        <w:t xml:space="preserve">mma di investimenti </w:t>
      </w:r>
      <w:r w:rsidRPr="009378AE">
        <w:rPr>
          <w:rFonts w:ascii="DecimaWE Rg" w:hAnsi="DecimaWE Rg"/>
          <w:sz w:val="23"/>
          <w:szCs w:val="23"/>
        </w:rPr>
        <w:t>per la banda larga regionale.</w:t>
      </w:r>
    </w:p>
    <w:p w:rsidR="00C51886" w:rsidRPr="004C4DA5" w:rsidRDefault="00C51886" w:rsidP="00C51886">
      <w:pPr>
        <w:spacing w:before="120"/>
        <w:jc w:val="both"/>
        <w:rPr>
          <w:rFonts w:ascii="DecimaWE Rg" w:hAnsi="DecimaWE Rg"/>
          <w:sz w:val="23"/>
          <w:szCs w:val="23"/>
        </w:rPr>
      </w:pPr>
      <w:r w:rsidRPr="004C4DA5">
        <w:rPr>
          <w:rFonts w:ascii="DecimaWE Rg" w:hAnsi="DecimaWE Rg"/>
          <w:sz w:val="23"/>
          <w:szCs w:val="23"/>
        </w:rPr>
        <w:t xml:space="preserve">In tema di </w:t>
      </w:r>
      <w:r w:rsidRPr="004C4DA5">
        <w:rPr>
          <w:rFonts w:ascii="DecimaWE Rg" w:hAnsi="DecimaWE Rg"/>
          <w:sz w:val="23"/>
          <w:szCs w:val="23"/>
          <w:u w:val="single"/>
        </w:rPr>
        <w:t>attività culturali, ricreative e sportive</w:t>
      </w:r>
      <w:r w:rsidRPr="004C4DA5">
        <w:rPr>
          <w:rFonts w:ascii="DecimaWE Rg" w:hAnsi="DecimaWE Rg"/>
          <w:sz w:val="23"/>
          <w:szCs w:val="23"/>
        </w:rPr>
        <w:t xml:space="preserve"> vengono garantiti incentivi per la tutela e la valorizzazione dell’attività teatrale e cinematografica, oltre a finanziamenti a favore dei musei, per la tutela delle identità linguistiche, per l’associazionismo ed il volontariato e per le manifestazioni culturali e spor</w:t>
      </w:r>
      <w:r>
        <w:rPr>
          <w:rFonts w:ascii="DecimaWE Rg" w:hAnsi="DecimaWE Rg"/>
          <w:sz w:val="23"/>
          <w:szCs w:val="23"/>
        </w:rPr>
        <w:t>tive</w:t>
      </w:r>
      <w:r w:rsidRPr="004C4DA5">
        <w:rPr>
          <w:rFonts w:ascii="DecimaWE Rg" w:hAnsi="DecimaWE Rg"/>
          <w:sz w:val="23"/>
          <w:szCs w:val="23"/>
        </w:rPr>
        <w:t>.</w:t>
      </w:r>
    </w:p>
    <w:p w:rsidR="00C51886" w:rsidRPr="00620C1F" w:rsidRDefault="00C51886" w:rsidP="00C51886">
      <w:pPr>
        <w:spacing w:before="120"/>
        <w:jc w:val="both"/>
        <w:rPr>
          <w:rFonts w:ascii="DecimaWE Rg" w:hAnsi="DecimaWE Rg"/>
          <w:sz w:val="23"/>
          <w:szCs w:val="23"/>
        </w:rPr>
      </w:pPr>
      <w:r w:rsidRPr="00C349F9">
        <w:rPr>
          <w:rFonts w:ascii="DecimaWE Rg" w:hAnsi="DecimaWE Rg"/>
          <w:sz w:val="23"/>
          <w:szCs w:val="23"/>
        </w:rPr>
        <w:t xml:space="preserve">In tema di </w:t>
      </w:r>
      <w:r w:rsidRPr="00C349F9">
        <w:rPr>
          <w:rFonts w:ascii="DecimaWE Rg" w:hAnsi="DecimaWE Rg"/>
          <w:sz w:val="23"/>
          <w:szCs w:val="23"/>
          <w:u w:val="single"/>
        </w:rPr>
        <w:t>istruzione, formazione e ricerca</w:t>
      </w:r>
      <w:r w:rsidRPr="00C349F9">
        <w:rPr>
          <w:rFonts w:ascii="DecimaWE Rg" w:hAnsi="DecimaWE Rg"/>
          <w:sz w:val="23"/>
          <w:szCs w:val="23"/>
        </w:rPr>
        <w:t xml:space="preserve"> vengono garantiti i finanziamenti per il funzionamento delle strutture scolastiche</w:t>
      </w:r>
      <w:r w:rsidRPr="00620C1F">
        <w:rPr>
          <w:rFonts w:ascii="DecimaWE Rg" w:hAnsi="DecimaWE Rg"/>
          <w:sz w:val="23"/>
          <w:szCs w:val="23"/>
        </w:rPr>
        <w:t>, previsti contributi a favore dei nuclei familiari a sostegno dei costi per il trasporto scolastico e l’acquisto dei libri di testo</w:t>
      </w:r>
      <w:r w:rsidRPr="00C349F9">
        <w:rPr>
          <w:rFonts w:ascii="DecimaWE Rg" w:hAnsi="DecimaWE Rg"/>
          <w:sz w:val="23"/>
          <w:szCs w:val="23"/>
        </w:rPr>
        <w:t xml:space="preserve"> oltre ai contributi agli istituti scolastici per il comodato gratuito dei </w:t>
      </w:r>
      <w:r w:rsidRPr="00620C1F">
        <w:rPr>
          <w:rFonts w:ascii="DecimaWE Rg" w:hAnsi="DecimaWE Rg"/>
          <w:sz w:val="23"/>
          <w:szCs w:val="23"/>
        </w:rPr>
        <w:t>libri; finanziamenti per il sostegno alle scuole paritarie,</w:t>
      </w:r>
      <w:r w:rsidRPr="00052BF8">
        <w:rPr>
          <w:rFonts w:ascii="DecimaWE Rg" w:hAnsi="DecimaWE Rg"/>
          <w:color w:val="0070C0"/>
          <w:sz w:val="23"/>
          <w:szCs w:val="23"/>
        </w:rPr>
        <w:t xml:space="preserve"> </w:t>
      </w:r>
      <w:r w:rsidRPr="00620C1F">
        <w:rPr>
          <w:rFonts w:ascii="DecimaWE Rg" w:hAnsi="DecimaWE Rg"/>
          <w:sz w:val="23"/>
          <w:szCs w:val="23"/>
        </w:rPr>
        <w:t>il sistema universitario ivi incluse le borse di studio, la</w:t>
      </w:r>
      <w:r w:rsidRPr="00C349F9">
        <w:rPr>
          <w:rFonts w:ascii="DecimaWE Rg" w:hAnsi="DecimaWE Rg"/>
          <w:sz w:val="23"/>
          <w:szCs w:val="23"/>
        </w:rPr>
        <w:t xml:space="preserve"> formazione </w:t>
      </w:r>
      <w:r w:rsidRPr="00620C1F">
        <w:rPr>
          <w:rFonts w:ascii="DecimaWE Rg" w:hAnsi="DecimaWE Rg"/>
          <w:sz w:val="23"/>
          <w:szCs w:val="23"/>
        </w:rPr>
        <w:t xml:space="preserve">professionale e le attività dei centri di ricerca. </w:t>
      </w:r>
    </w:p>
    <w:p w:rsidR="00C51886" w:rsidRPr="006C1505" w:rsidRDefault="00C51886" w:rsidP="00C51886">
      <w:pPr>
        <w:spacing w:before="120"/>
        <w:jc w:val="both"/>
        <w:rPr>
          <w:rFonts w:ascii="DecimaWE Rg" w:hAnsi="DecimaWE Rg"/>
          <w:sz w:val="23"/>
          <w:szCs w:val="23"/>
        </w:rPr>
      </w:pPr>
      <w:r w:rsidRPr="006C1505">
        <w:rPr>
          <w:rFonts w:ascii="DecimaWE Rg" w:hAnsi="DecimaWE Rg"/>
          <w:sz w:val="23"/>
          <w:szCs w:val="23"/>
        </w:rPr>
        <w:t xml:space="preserve">In tema di </w:t>
      </w:r>
      <w:r w:rsidRPr="006C1505">
        <w:rPr>
          <w:rFonts w:ascii="DecimaWE Rg" w:hAnsi="DecimaWE Rg"/>
          <w:sz w:val="23"/>
          <w:szCs w:val="23"/>
          <w:u w:val="single"/>
        </w:rPr>
        <w:t>politiche attive del lavoro</w:t>
      </w:r>
      <w:r w:rsidRPr="006C1505">
        <w:rPr>
          <w:rFonts w:ascii="DecimaWE Rg" w:hAnsi="DecimaWE Rg"/>
          <w:sz w:val="23"/>
          <w:szCs w:val="23"/>
        </w:rPr>
        <w:t xml:space="preserve"> vengono garantite anche per il </w:t>
      </w:r>
      <w:r w:rsidRPr="00124801">
        <w:rPr>
          <w:rFonts w:ascii="DecimaWE Rg" w:hAnsi="DecimaWE Rg"/>
          <w:sz w:val="23"/>
          <w:szCs w:val="23"/>
        </w:rPr>
        <w:t xml:space="preserve">2015 </w:t>
      </w:r>
      <w:r w:rsidRPr="00C378E7">
        <w:rPr>
          <w:rFonts w:ascii="DecimaWE Rg" w:hAnsi="DecimaWE Rg"/>
          <w:sz w:val="23"/>
          <w:szCs w:val="23"/>
        </w:rPr>
        <w:t>adeguate risorse per gli ammortizzatori sociali, il sostegno alla stipulazione di contratti di solidarietà difensivi</w:t>
      </w:r>
      <w:r w:rsidRPr="006C1505">
        <w:rPr>
          <w:rFonts w:ascii="DecimaWE Rg" w:hAnsi="DecimaWE Rg"/>
          <w:sz w:val="23"/>
          <w:szCs w:val="23"/>
        </w:rPr>
        <w:t xml:space="preserve"> e per i progetti di attività socialmente utili.</w:t>
      </w:r>
    </w:p>
    <w:p w:rsidR="00C51886" w:rsidRPr="006C1505" w:rsidRDefault="00C51886" w:rsidP="00C51886">
      <w:pPr>
        <w:spacing w:before="120"/>
        <w:jc w:val="both"/>
        <w:rPr>
          <w:rFonts w:ascii="DecimaWE Rg" w:hAnsi="DecimaWE Rg"/>
          <w:sz w:val="23"/>
          <w:szCs w:val="23"/>
        </w:rPr>
      </w:pPr>
      <w:r w:rsidRPr="006C1505">
        <w:rPr>
          <w:rFonts w:ascii="DecimaWE Rg" w:hAnsi="DecimaWE Rg"/>
          <w:sz w:val="23"/>
          <w:szCs w:val="23"/>
        </w:rPr>
        <w:t xml:space="preserve">In tema di </w:t>
      </w:r>
      <w:r w:rsidRPr="006C1505">
        <w:rPr>
          <w:rFonts w:ascii="DecimaWE Rg" w:hAnsi="DecimaWE Rg"/>
          <w:sz w:val="23"/>
          <w:szCs w:val="23"/>
          <w:u w:val="single"/>
        </w:rPr>
        <w:t>politiche sociali</w:t>
      </w:r>
      <w:r w:rsidRPr="006C1505">
        <w:rPr>
          <w:rFonts w:ascii="DecimaWE Rg" w:hAnsi="DecimaWE Rg"/>
          <w:sz w:val="23"/>
          <w:szCs w:val="23"/>
        </w:rPr>
        <w:t xml:space="preserve"> vengono confermate le risorse per i settori d’intervento più delicati: disabilità, abbattimento rette </w:t>
      </w:r>
      <w:r>
        <w:rPr>
          <w:rFonts w:ascii="DecimaWE Rg" w:hAnsi="DecimaWE Rg"/>
          <w:sz w:val="23"/>
          <w:szCs w:val="23"/>
        </w:rPr>
        <w:t>di accoglienza in strutture per a</w:t>
      </w:r>
      <w:r w:rsidRPr="006C1505">
        <w:rPr>
          <w:rFonts w:ascii="DecimaWE Rg" w:hAnsi="DecimaWE Rg"/>
          <w:sz w:val="23"/>
          <w:szCs w:val="23"/>
        </w:rPr>
        <w:t>nziani, servizi di telesoccorso, carta famiglia, servizi per la prima infanzia, autonomia della persona, se</w:t>
      </w:r>
      <w:r>
        <w:rPr>
          <w:rFonts w:ascii="DecimaWE Rg" w:hAnsi="DecimaWE Rg"/>
          <w:sz w:val="23"/>
          <w:szCs w:val="23"/>
        </w:rPr>
        <w:t>rvizi socio-assistenziali, casa</w:t>
      </w:r>
      <w:r w:rsidRPr="00EE4D87">
        <w:rPr>
          <w:rFonts w:ascii="DecimaWE Rg" w:hAnsi="DecimaWE Rg"/>
          <w:sz w:val="23"/>
          <w:szCs w:val="23"/>
        </w:rPr>
        <w:t xml:space="preserve">. Si segnala </w:t>
      </w:r>
      <w:r>
        <w:rPr>
          <w:rFonts w:ascii="DecimaWE Rg" w:hAnsi="DecimaWE Rg"/>
          <w:sz w:val="23"/>
          <w:szCs w:val="23"/>
        </w:rPr>
        <w:t>uno stanziamento di 4</w:t>
      </w:r>
      <w:r w:rsidRPr="00EE4D87">
        <w:rPr>
          <w:rFonts w:ascii="DecimaWE Rg" w:hAnsi="DecimaWE Rg"/>
          <w:sz w:val="23"/>
          <w:szCs w:val="23"/>
        </w:rPr>
        <w:t xml:space="preserve"> </w:t>
      </w:r>
      <w:proofErr w:type="spellStart"/>
      <w:r w:rsidRPr="00EE4D87">
        <w:rPr>
          <w:rFonts w:ascii="DecimaWE Rg" w:hAnsi="DecimaWE Rg"/>
          <w:sz w:val="23"/>
          <w:szCs w:val="23"/>
        </w:rPr>
        <w:t>mil</w:t>
      </w:r>
      <w:proofErr w:type="spellEnd"/>
      <w:r>
        <w:rPr>
          <w:rFonts w:ascii="DecimaWE Rg" w:hAnsi="DecimaWE Rg"/>
          <w:sz w:val="23"/>
          <w:szCs w:val="23"/>
        </w:rPr>
        <w:t xml:space="preserve"> €</w:t>
      </w:r>
      <w:r w:rsidRPr="00EE4D87">
        <w:rPr>
          <w:rFonts w:ascii="DecimaWE Rg" w:hAnsi="DecimaWE Rg"/>
          <w:sz w:val="23"/>
          <w:szCs w:val="23"/>
        </w:rPr>
        <w:t xml:space="preserve"> ai fini di rendere più efficace il sostegno alle famiglie per l’abbattimento delle rette degli asili nido, consentendo di anticipare l’erogazione nell’effettivo momento del fabbisogno, in luogo dell’attuale modalità che prevede l’erogazione del contributo a rendicontazione.</w:t>
      </w:r>
      <w:r>
        <w:rPr>
          <w:rFonts w:ascii="DecimaWE Rg" w:hAnsi="DecimaWE Rg"/>
          <w:sz w:val="23"/>
          <w:szCs w:val="23"/>
        </w:rPr>
        <w:t xml:space="preserve"> Uno stanziamento di 5 </w:t>
      </w:r>
      <w:proofErr w:type="spellStart"/>
      <w:r>
        <w:rPr>
          <w:rFonts w:ascii="DecimaWE Rg" w:hAnsi="DecimaWE Rg"/>
          <w:sz w:val="23"/>
          <w:szCs w:val="23"/>
        </w:rPr>
        <w:t>mil</w:t>
      </w:r>
      <w:proofErr w:type="spellEnd"/>
      <w:r>
        <w:rPr>
          <w:rFonts w:ascii="DecimaWE Rg" w:hAnsi="DecimaWE Rg"/>
          <w:sz w:val="23"/>
          <w:szCs w:val="23"/>
        </w:rPr>
        <w:t xml:space="preserve"> € viene destinato come contributo per aiutare le persone a basso reddito ad usufruire di prestazioni sanitarie. Infine uno stanziamento a fondo globale </w:t>
      </w:r>
      <w:r w:rsidRPr="00EE4D87">
        <w:rPr>
          <w:rFonts w:ascii="DecimaWE Rg" w:hAnsi="DecimaWE Rg"/>
          <w:sz w:val="23"/>
          <w:szCs w:val="23"/>
        </w:rPr>
        <w:t>di 1</w:t>
      </w:r>
      <w:r>
        <w:rPr>
          <w:rFonts w:ascii="DecimaWE Rg" w:hAnsi="DecimaWE Rg"/>
          <w:sz w:val="23"/>
          <w:szCs w:val="23"/>
        </w:rPr>
        <w:t>0</w:t>
      </w:r>
      <w:r w:rsidRPr="00EE4D87">
        <w:rPr>
          <w:rFonts w:ascii="DecimaWE Rg" w:hAnsi="DecimaWE Rg"/>
          <w:sz w:val="23"/>
          <w:szCs w:val="23"/>
        </w:rPr>
        <w:t xml:space="preserve"> </w:t>
      </w:r>
      <w:proofErr w:type="spellStart"/>
      <w:r w:rsidRPr="00EE4D87">
        <w:rPr>
          <w:rFonts w:ascii="DecimaWE Rg" w:hAnsi="DecimaWE Rg"/>
          <w:sz w:val="23"/>
          <w:szCs w:val="23"/>
        </w:rPr>
        <w:t>mil</w:t>
      </w:r>
      <w:proofErr w:type="spellEnd"/>
      <w:r w:rsidRPr="00EE4D87">
        <w:rPr>
          <w:rFonts w:ascii="DecimaWE Rg" w:hAnsi="DecimaWE Rg"/>
          <w:sz w:val="23"/>
          <w:szCs w:val="23"/>
        </w:rPr>
        <w:t xml:space="preserve"> € pe</w:t>
      </w:r>
      <w:r>
        <w:rPr>
          <w:rFonts w:ascii="DecimaWE Rg" w:hAnsi="DecimaWE Rg"/>
          <w:sz w:val="23"/>
          <w:szCs w:val="23"/>
        </w:rPr>
        <w:t>r il settore sociale anticipa una evidente intenzione di proporre un’organica revisione del settore, rendendo maggiormente efficienti ed efficaci alcuni istituti già operativi, oltre ad introdurre una nuova forma di sostegno al reddito.</w:t>
      </w:r>
    </w:p>
    <w:p w:rsidR="00C51886" w:rsidRPr="00A91DFA" w:rsidRDefault="00C51886" w:rsidP="00C51886">
      <w:pPr>
        <w:spacing w:before="120"/>
        <w:jc w:val="both"/>
        <w:rPr>
          <w:rFonts w:ascii="DecimaWE Rg" w:hAnsi="DecimaWE Rg"/>
          <w:sz w:val="23"/>
          <w:szCs w:val="23"/>
        </w:rPr>
      </w:pPr>
      <w:r w:rsidRPr="00A91DFA">
        <w:rPr>
          <w:rFonts w:ascii="DecimaWE Rg" w:hAnsi="DecimaWE Rg"/>
          <w:sz w:val="23"/>
          <w:szCs w:val="23"/>
        </w:rPr>
        <w:t xml:space="preserve">Infine la </w:t>
      </w:r>
      <w:r w:rsidRPr="00A91DFA">
        <w:rPr>
          <w:rFonts w:ascii="DecimaWE Rg" w:hAnsi="DecimaWE Rg"/>
          <w:sz w:val="23"/>
          <w:szCs w:val="23"/>
          <w:u w:val="single"/>
        </w:rPr>
        <w:t>spesa corrente sanitaria</w:t>
      </w:r>
      <w:r w:rsidRPr="00A91DFA">
        <w:rPr>
          <w:rFonts w:ascii="DecimaWE Rg" w:hAnsi="DecimaWE Rg"/>
          <w:sz w:val="23"/>
          <w:szCs w:val="23"/>
        </w:rPr>
        <w:t xml:space="preserve"> conferma già con la presente legge finanziaria 2015 le risorse necessarie per dare copertura alle necessità (l’anno precedente la copertura era stata garantita da un’integrazione in </w:t>
      </w:r>
      <w:r w:rsidRPr="00A91DFA">
        <w:rPr>
          <w:rFonts w:ascii="DecimaWE Rg" w:hAnsi="DecimaWE Rg"/>
          <w:sz w:val="23"/>
          <w:szCs w:val="23"/>
        </w:rPr>
        <w:lastRenderedPageBreak/>
        <w:t>sede di assestamento del bilancio 2014). Per quanto attiene agli investimenti in ambito sanitario, prosegue il piano di edilizia sanitaria con finanziamenti correlati ai vari cronoprogrammi.</w:t>
      </w:r>
    </w:p>
    <w:p w:rsidR="00C51886" w:rsidRPr="00620C1F" w:rsidRDefault="00C51886" w:rsidP="00C51886">
      <w:pPr>
        <w:spacing w:before="120"/>
        <w:jc w:val="both"/>
        <w:rPr>
          <w:rFonts w:ascii="DecimaWE Rg" w:hAnsi="DecimaWE Rg"/>
          <w:sz w:val="23"/>
          <w:szCs w:val="23"/>
        </w:rPr>
      </w:pPr>
      <w:r w:rsidRPr="00620C1F">
        <w:rPr>
          <w:rFonts w:ascii="DecimaWE Rg" w:hAnsi="DecimaWE Rg"/>
          <w:sz w:val="23"/>
          <w:szCs w:val="23"/>
        </w:rPr>
        <w:t>L’allocazione delle risorse disponibili per l’esercizio finanziario 201</w:t>
      </w:r>
      <w:r>
        <w:rPr>
          <w:rFonts w:ascii="DecimaWE Rg" w:hAnsi="DecimaWE Rg"/>
          <w:sz w:val="23"/>
          <w:szCs w:val="23"/>
        </w:rPr>
        <w:t>5</w:t>
      </w:r>
      <w:r w:rsidRPr="00620C1F">
        <w:rPr>
          <w:rFonts w:ascii="DecimaWE Rg" w:hAnsi="DecimaWE Rg"/>
          <w:sz w:val="23"/>
          <w:szCs w:val="23"/>
        </w:rPr>
        <w:t xml:space="preserve">, oltre che conseguire alle incomprimibili scelte di impiego prioritario, ha dovuto comunque tener conto della necessità di garantire copertura alle obbligazioni già assunte in esercizi precedenti a gravare sugli esercizi del triennio programmatico, come le “rigidità di bilancio” ascrivibili ai pregressi limiti di impegno. </w:t>
      </w:r>
    </w:p>
    <w:p w:rsidR="00C51886" w:rsidRDefault="00C51886" w:rsidP="00C51886">
      <w:pPr>
        <w:spacing w:before="120"/>
        <w:jc w:val="both"/>
        <w:rPr>
          <w:rFonts w:ascii="DecimaWE Rg" w:hAnsi="DecimaWE Rg"/>
          <w:color w:val="FF0000"/>
          <w:sz w:val="23"/>
          <w:szCs w:val="23"/>
        </w:rPr>
      </w:pPr>
    </w:p>
    <w:p w:rsidR="00C51886" w:rsidRDefault="00C51886" w:rsidP="00C51886">
      <w:pPr>
        <w:pStyle w:val="Titolo3"/>
        <w:jc w:val="both"/>
        <w:rPr>
          <w:rFonts w:ascii="DecimaWE Rg" w:hAnsi="DecimaWE Rg"/>
        </w:rPr>
      </w:pPr>
      <w:r>
        <w:rPr>
          <w:rFonts w:ascii="DecimaWE Rg" w:hAnsi="DecimaWE Rg"/>
        </w:rPr>
        <w:t>Una disamina delle risorse non manovrabili nel bilancio di previsione 2015-17</w:t>
      </w:r>
    </w:p>
    <w:p w:rsidR="00C51886" w:rsidRDefault="00C51886" w:rsidP="00C51886">
      <w:pPr>
        <w:spacing w:before="120"/>
        <w:jc w:val="both"/>
        <w:rPr>
          <w:rFonts w:ascii="DecimaWE Rg" w:hAnsi="DecimaWE Rg"/>
          <w:sz w:val="23"/>
          <w:szCs w:val="23"/>
        </w:rPr>
      </w:pPr>
      <w:r>
        <w:rPr>
          <w:rFonts w:ascii="DecimaWE Rg" w:hAnsi="DecimaWE Rg"/>
          <w:sz w:val="23"/>
          <w:szCs w:val="23"/>
        </w:rPr>
        <w:t xml:space="preserve">Si ritiene utile introdurre in questa sede, ai fini di una migliore comprensibilità dei dati esposti nelle tabelle degli stanziamenti fin qui rappresentate, una disamina di tutti gli aspetti che contribuiscono a conferire alle risorse stanziate un carattere di “non-manovrabilità”: vi sono infatti nel bilancio una serie di poste, di importo anche consistente, la cui iscrizione si configura come necessaria ed ineludibile in relazione a vari fattori (vincoli normativi, vincoli contabili, obbligazioni già assunte). </w:t>
      </w:r>
    </w:p>
    <w:p w:rsidR="00C51886" w:rsidRDefault="00C51886" w:rsidP="00C51886">
      <w:pPr>
        <w:spacing w:before="120"/>
        <w:jc w:val="both"/>
        <w:rPr>
          <w:rFonts w:ascii="DecimaWE Rg" w:hAnsi="DecimaWE Rg"/>
          <w:sz w:val="23"/>
          <w:szCs w:val="23"/>
        </w:rPr>
      </w:pPr>
      <w:r>
        <w:rPr>
          <w:rFonts w:ascii="DecimaWE Rg" w:hAnsi="DecimaWE Rg"/>
          <w:sz w:val="23"/>
          <w:szCs w:val="23"/>
        </w:rPr>
        <w:t>Facendo seguito a quanto esposto nei paragrafi precedenti, a partire da quelli relativi alle entrate, i principali aggregati che costituiscono risorse non manovrabili sono i seguenti:</w:t>
      </w:r>
    </w:p>
    <w:p w:rsidR="00C51886" w:rsidRDefault="00C51886" w:rsidP="00C51886">
      <w:pPr>
        <w:numPr>
          <w:ilvl w:val="0"/>
          <w:numId w:val="12"/>
        </w:numPr>
        <w:spacing w:before="120"/>
        <w:jc w:val="both"/>
        <w:rPr>
          <w:rFonts w:ascii="DecimaWE Rg" w:hAnsi="DecimaWE Rg"/>
          <w:sz w:val="23"/>
          <w:szCs w:val="23"/>
        </w:rPr>
      </w:pPr>
      <w:r>
        <w:rPr>
          <w:rFonts w:ascii="DecimaWE Rg" w:hAnsi="DecimaWE Rg"/>
          <w:b/>
          <w:sz w:val="23"/>
          <w:szCs w:val="23"/>
        </w:rPr>
        <w:t>L</w:t>
      </w:r>
      <w:r w:rsidRPr="006F2842">
        <w:rPr>
          <w:rFonts w:ascii="DecimaWE Rg" w:hAnsi="DecimaWE Rg"/>
          <w:b/>
          <w:sz w:val="23"/>
          <w:szCs w:val="23"/>
        </w:rPr>
        <w:t>e partite di giro</w:t>
      </w:r>
      <w:r>
        <w:rPr>
          <w:rFonts w:ascii="DecimaWE Rg" w:hAnsi="DecimaWE Rg"/>
          <w:sz w:val="23"/>
          <w:szCs w:val="23"/>
        </w:rPr>
        <w:t xml:space="preserve">: come è noto, per quanto riguarda tali poste le entrate e le spese trovano automatica corrispondenza, essendo che costituiscono operazioni che vengono registrate nel bilancio regionale “per conto di terzi”; nel bilancio di previsione 2015, tali poste assommano  a </w:t>
      </w:r>
      <w:r w:rsidRPr="006F2842">
        <w:rPr>
          <w:rFonts w:ascii="DecimaWE Rg" w:hAnsi="DecimaWE Rg"/>
          <w:b/>
          <w:sz w:val="23"/>
          <w:szCs w:val="23"/>
        </w:rPr>
        <w:t>11</w:t>
      </w:r>
      <w:r>
        <w:rPr>
          <w:rFonts w:ascii="DecimaWE Rg" w:hAnsi="DecimaWE Rg"/>
          <w:b/>
          <w:sz w:val="23"/>
          <w:szCs w:val="23"/>
        </w:rPr>
        <w:t>3</w:t>
      </w:r>
      <w:r w:rsidRPr="006F2842">
        <w:rPr>
          <w:rFonts w:ascii="DecimaWE Rg" w:hAnsi="DecimaWE Rg"/>
          <w:b/>
          <w:sz w:val="23"/>
          <w:szCs w:val="23"/>
        </w:rPr>
        <w:t xml:space="preserve"> milioni di euro</w:t>
      </w:r>
      <w:r>
        <w:rPr>
          <w:rFonts w:ascii="DecimaWE Rg" w:hAnsi="DecimaWE Rg"/>
          <w:sz w:val="23"/>
          <w:szCs w:val="23"/>
        </w:rPr>
        <w:t>.</w:t>
      </w:r>
    </w:p>
    <w:p w:rsidR="00C51886" w:rsidRDefault="00C51886" w:rsidP="00C51886">
      <w:pPr>
        <w:numPr>
          <w:ilvl w:val="0"/>
          <w:numId w:val="12"/>
        </w:numPr>
        <w:spacing w:before="120"/>
        <w:jc w:val="both"/>
        <w:rPr>
          <w:rFonts w:ascii="DecimaWE Rg" w:hAnsi="DecimaWE Rg"/>
          <w:sz w:val="23"/>
          <w:szCs w:val="23"/>
        </w:rPr>
      </w:pPr>
      <w:r>
        <w:rPr>
          <w:rFonts w:ascii="DecimaWE Rg" w:hAnsi="DecimaWE Rg"/>
          <w:b/>
          <w:sz w:val="23"/>
          <w:szCs w:val="23"/>
        </w:rPr>
        <w:t>Gli accantonamenti a fronte del contributo dovuto dalla Regione a titolo di concorso alle manovre di finanza pubblica</w:t>
      </w:r>
      <w:r>
        <w:rPr>
          <w:rFonts w:ascii="DecimaWE Rg" w:hAnsi="DecimaWE Rg"/>
          <w:sz w:val="23"/>
          <w:szCs w:val="23"/>
        </w:rPr>
        <w:t xml:space="preserve">: tali quote venivano contabilizzate tra le partite di giro fino all’esercizio 2014, mentre a partire dal 2015 i relativi stanziamenti confluiscono nella parte operativa del bilancio (nel titolo primo della spesa e dell’entrata). Nel 2015 il valore di tali poste è di circa </w:t>
      </w:r>
      <w:r w:rsidRPr="006F2842">
        <w:rPr>
          <w:rFonts w:ascii="DecimaWE Rg" w:hAnsi="DecimaWE Rg"/>
          <w:b/>
          <w:sz w:val="23"/>
          <w:szCs w:val="23"/>
        </w:rPr>
        <w:t>800 milioni di euro</w:t>
      </w:r>
      <w:r>
        <w:rPr>
          <w:rFonts w:ascii="DecimaWE Rg" w:hAnsi="DecimaWE Rg"/>
          <w:sz w:val="23"/>
          <w:szCs w:val="23"/>
        </w:rPr>
        <w:t>.</w:t>
      </w:r>
    </w:p>
    <w:p w:rsidR="00C51886" w:rsidRDefault="00C51886" w:rsidP="00C51886">
      <w:pPr>
        <w:numPr>
          <w:ilvl w:val="0"/>
          <w:numId w:val="12"/>
        </w:numPr>
        <w:spacing w:before="120"/>
        <w:jc w:val="both"/>
        <w:rPr>
          <w:rFonts w:ascii="DecimaWE Rg" w:hAnsi="DecimaWE Rg"/>
          <w:sz w:val="23"/>
          <w:szCs w:val="23"/>
        </w:rPr>
      </w:pPr>
      <w:r>
        <w:rPr>
          <w:rFonts w:ascii="DecimaWE Rg" w:hAnsi="DecimaWE Rg"/>
          <w:b/>
          <w:sz w:val="23"/>
          <w:szCs w:val="23"/>
        </w:rPr>
        <w:t>Gli importi destinati alle compensazioni ed ai rimborsi dei tributi erariali</w:t>
      </w:r>
      <w:r>
        <w:rPr>
          <w:rFonts w:ascii="DecimaWE Rg" w:hAnsi="DecimaWE Rg"/>
          <w:sz w:val="23"/>
          <w:szCs w:val="23"/>
        </w:rPr>
        <w:t xml:space="preserve">: come è noto, la Regione compartecipa ai tributi erariali secondo quanto disposto dallo Statuto di autonomia all’art. 49; la compartecipazione si estende, naturalmente, ai casi in cui il contribuente richieda il rimborso di tributi pagati in eccesso in esercizi precedenti o porti i pagamenti eccedenti in compensazione dell’imposta dovuto per l’esercizio; per far fronte a tali eventualità nel bilancio 2015 sono allocati stanziamenti di importo pari a </w:t>
      </w:r>
      <w:r w:rsidRPr="003D76C2">
        <w:rPr>
          <w:rFonts w:ascii="DecimaWE Rg" w:hAnsi="DecimaWE Rg"/>
          <w:b/>
          <w:sz w:val="23"/>
          <w:szCs w:val="23"/>
        </w:rPr>
        <w:t>846 milioni di euro</w:t>
      </w:r>
      <w:r>
        <w:rPr>
          <w:rFonts w:ascii="DecimaWE Rg" w:hAnsi="DecimaWE Rg"/>
          <w:sz w:val="23"/>
          <w:szCs w:val="23"/>
        </w:rPr>
        <w:t xml:space="preserve"> (spese del titolo 1, da detrarre alle entrate tributarie previste per ottenere il gettito netto spettante).</w:t>
      </w:r>
    </w:p>
    <w:p w:rsidR="00C51886" w:rsidRDefault="00C51886" w:rsidP="00C51886">
      <w:pPr>
        <w:numPr>
          <w:ilvl w:val="0"/>
          <w:numId w:val="12"/>
        </w:numPr>
        <w:spacing w:before="120"/>
        <w:jc w:val="both"/>
        <w:rPr>
          <w:rFonts w:ascii="DecimaWE Rg" w:hAnsi="DecimaWE Rg"/>
          <w:sz w:val="23"/>
          <w:szCs w:val="23"/>
        </w:rPr>
      </w:pPr>
      <w:r w:rsidRPr="008C5398">
        <w:rPr>
          <w:rFonts w:ascii="DecimaWE Rg" w:hAnsi="DecimaWE Rg"/>
          <w:b/>
          <w:sz w:val="23"/>
          <w:szCs w:val="23"/>
        </w:rPr>
        <w:t>Altre partite che presentano un’automatica e necessaria corrispondenza tra l’entrata e la spesa</w:t>
      </w:r>
      <w:r>
        <w:rPr>
          <w:rFonts w:ascii="DecimaWE Rg" w:hAnsi="DecimaWE Rg"/>
          <w:sz w:val="23"/>
          <w:szCs w:val="23"/>
        </w:rPr>
        <w:t xml:space="preserve">: si tratta, ad esempio, di concessione di credito ad altri soggetti, dove lo stanziamento di spesa relativo alla concessione di credito è compensato dalla previsione in entrata di una posta di pari importo per le restituzioni. Come già anticipato, nell’esercizio 2015 hanno queste caratteristiche molte fattispecie che precedentemente venivano contabilizzate tra le partite di giro. Al netto delle poste di cui al punti 2 e 3, lo stanziamento per partite di spesa che compensano in entrata è pari a circa </w:t>
      </w:r>
      <w:r w:rsidRPr="00923F8F">
        <w:rPr>
          <w:rFonts w:ascii="DecimaWE Rg" w:hAnsi="DecimaWE Rg"/>
          <w:b/>
          <w:sz w:val="23"/>
          <w:szCs w:val="23"/>
        </w:rPr>
        <w:t>67</w:t>
      </w:r>
      <w:r>
        <w:rPr>
          <w:rFonts w:ascii="DecimaWE Rg" w:hAnsi="DecimaWE Rg"/>
          <w:b/>
          <w:sz w:val="23"/>
          <w:szCs w:val="23"/>
        </w:rPr>
        <w:t>7</w:t>
      </w:r>
      <w:r w:rsidRPr="00923F8F">
        <w:rPr>
          <w:rFonts w:ascii="DecimaWE Rg" w:hAnsi="DecimaWE Rg"/>
          <w:b/>
          <w:sz w:val="23"/>
          <w:szCs w:val="23"/>
        </w:rPr>
        <w:t xml:space="preserve"> milioni di euro</w:t>
      </w:r>
      <w:r>
        <w:rPr>
          <w:rFonts w:ascii="DecimaWE Rg" w:hAnsi="DecimaWE Rg"/>
          <w:b/>
          <w:sz w:val="23"/>
          <w:szCs w:val="23"/>
        </w:rPr>
        <w:t>.</w:t>
      </w:r>
    </w:p>
    <w:p w:rsidR="00C51886" w:rsidRDefault="00C51886" w:rsidP="00C51886">
      <w:pPr>
        <w:numPr>
          <w:ilvl w:val="0"/>
          <w:numId w:val="12"/>
        </w:numPr>
        <w:spacing w:before="120"/>
        <w:jc w:val="both"/>
        <w:rPr>
          <w:rFonts w:ascii="DecimaWE Rg" w:hAnsi="DecimaWE Rg"/>
          <w:sz w:val="23"/>
          <w:szCs w:val="23"/>
        </w:rPr>
      </w:pPr>
      <w:r>
        <w:rPr>
          <w:rFonts w:ascii="DecimaWE Rg" w:hAnsi="DecimaWE Rg"/>
          <w:sz w:val="23"/>
          <w:szCs w:val="23"/>
        </w:rPr>
        <w:t xml:space="preserve">Assegnazioni vincolate statali, comunitarie e relativi cofinanziamenti, incluse le anticipazioni a carico del bilancio regionale: si tratta, come è noto, di poste che risultano vincolate nella destinazione della spesa. Tali poste assommano a circa </w:t>
      </w:r>
      <w:r w:rsidRPr="00923F8F">
        <w:rPr>
          <w:rFonts w:ascii="DecimaWE Rg" w:hAnsi="DecimaWE Rg"/>
          <w:b/>
          <w:sz w:val="23"/>
          <w:szCs w:val="23"/>
        </w:rPr>
        <w:t>1</w:t>
      </w:r>
      <w:r>
        <w:rPr>
          <w:rFonts w:ascii="DecimaWE Rg" w:hAnsi="DecimaWE Rg"/>
          <w:b/>
          <w:sz w:val="23"/>
          <w:szCs w:val="23"/>
        </w:rPr>
        <w:t>73</w:t>
      </w:r>
      <w:r w:rsidRPr="00923F8F">
        <w:rPr>
          <w:rFonts w:ascii="DecimaWE Rg" w:hAnsi="DecimaWE Rg"/>
          <w:b/>
          <w:sz w:val="23"/>
          <w:szCs w:val="23"/>
        </w:rPr>
        <w:t xml:space="preserve"> milioni di euro</w:t>
      </w:r>
      <w:r>
        <w:rPr>
          <w:rFonts w:ascii="DecimaWE Rg" w:hAnsi="DecimaWE Rg"/>
          <w:sz w:val="23"/>
          <w:szCs w:val="23"/>
        </w:rPr>
        <w:t>.</w:t>
      </w:r>
    </w:p>
    <w:p w:rsidR="00C51886" w:rsidRDefault="00C51886" w:rsidP="00C51886">
      <w:pPr>
        <w:numPr>
          <w:ilvl w:val="0"/>
          <w:numId w:val="12"/>
        </w:numPr>
        <w:spacing w:before="120"/>
        <w:jc w:val="both"/>
        <w:rPr>
          <w:rFonts w:ascii="DecimaWE Rg" w:hAnsi="DecimaWE Rg"/>
          <w:sz w:val="23"/>
          <w:szCs w:val="23"/>
        </w:rPr>
      </w:pPr>
      <w:r w:rsidRPr="00923F8F">
        <w:rPr>
          <w:rFonts w:ascii="DecimaWE Rg" w:hAnsi="DecimaWE Rg"/>
          <w:sz w:val="23"/>
          <w:szCs w:val="23"/>
        </w:rPr>
        <w:t>“</w:t>
      </w:r>
      <w:r w:rsidRPr="00923F8F">
        <w:rPr>
          <w:rFonts w:ascii="DecimaWE Rg" w:hAnsi="DecimaWE Rg"/>
          <w:b/>
          <w:sz w:val="23"/>
          <w:szCs w:val="23"/>
        </w:rPr>
        <w:t>Rigidità</w:t>
      </w:r>
      <w:r w:rsidRPr="00923F8F">
        <w:rPr>
          <w:rFonts w:ascii="DecimaWE Rg" w:hAnsi="DecimaWE Rg"/>
          <w:sz w:val="23"/>
          <w:szCs w:val="23"/>
        </w:rPr>
        <w:t xml:space="preserve">”: si intende con questo termine riferirsi agli stanziamenti relativi a </w:t>
      </w:r>
      <w:r w:rsidRPr="00962E36">
        <w:rPr>
          <w:rFonts w:ascii="DecimaWE Rg" w:hAnsi="DecimaWE Rg"/>
          <w:sz w:val="23"/>
          <w:szCs w:val="23"/>
        </w:rPr>
        <w:t>quote di obbligazioni pluriennali autorizzate da leggi di spesa di esercizi precedenti, ai sensi dell’art. 11, comma 1, lettera c), L.R. 21/2007</w:t>
      </w:r>
      <w:r>
        <w:rPr>
          <w:rFonts w:ascii="DecimaWE Rg" w:hAnsi="DecimaWE Rg"/>
          <w:sz w:val="23"/>
          <w:szCs w:val="23"/>
        </w:rPr>
        <w:t xml:space="preserve">: si tratta delle quote che, nella tabella del quadro della spesa precedentemente riportata e nelle tabelle della spesa per finalità che seguono, è indicata come “rigida”.  Al netto di </w:t>
      </w:r>
      <w:r>
        <w:rPr>
          <w:rFonts w:ascii="DecimaWE Rg" w:hAnsi="DecimaWE Rg"/>
          <w:sz w:val="23"/>
          <w:szCs w:val="23"/>
        </w:rPr>
        <w:lastRenderedPageBreak/>
        <w:t xml:space="preserve">eventuali quote coperte da assegnazioni statali vincolate, che sono già conteggiate al punto 5 qui sopra, l’importo iscritto nel bilancio 2015 vale circa </w:t>
      </w:r>
      <w:r w:rsidRPr="00923F8F">
        <w:rPr>
          <w:rFonts w:ascii="DecimaWE Rg" w:hAnsi="DecimaWE Rg"/>
          <w:b/>
          <w:sz w:val="23"/>
          <w:szCs w:val="23"/>
        </w:rPr>
        <w:t>308 milioni di euro</w:t>
      </w:r>
      <w:r>
        <w:rPr>
          <w:rFonts w:ascii="DecimaWE Rg" w:hAnsi="DecimaWE Rg"/>
          <w:sz w:val="23"/>
          <w:szCs w:val="23"/>
        </w:rPr>
        <w:t>.</w:t>
      </w:r>
    </w:p>
    <w:p w:rsidR="00C51886" w:rsidRPr="00560FA0" w:rsidRDefault="00C51886" w:rsidP="00C51886">
      <w:pPr>
        <w:numPr>
          <w:ilvl w:val="0"/>
          <w:numId w:val="12"/>
        </w:numPr>
        <w:spacing w:before="120"/>
        <w:jc w:val="both"/>
        <w:rPr>
          <w:rFonts w:ascii="DecimaWE Rg" w:hAnsi="DecimaWE Rg"/>
          <w:sz w:val="23"/>
          <w:szCs w:val="23"/>
        </w:rPr>
      </w:pPr>
      <w:r w:rsidRPr="00923F8F">
        <w:rPr>
          <w:rFonts w:ascii="DecimaWE Rg" w:hAnsi="DecimaWE Rg"/>
          <w:b/>
          <w:sz w:val="23"/>
          <w:szCs w:val="23"/>
        </w:rPr>
        <w:t>Servizio del debito</w:t>
      </w:r>
      <w:r>
        <w:rPr>
          <w:rFonts w:ascii="DecimaWE Rg" w:hAnsi="DecimaWE Rg"/>
          <w:sz w:val="23"/>
          <w:szCs w:val="23"/>
        </w:rPr>
        <w:t xml:space="preserve">: le quote stanziate per ottemperare al pagamento dei mutui già contratti dall’amministrazione regionale, dei BOR in essere, e per garantire l’effettività delle autorizzazioni ad indebitamento autorizzate negli esercizi precedenti e non ancora realizzate, ammontano nell’esercizio 2015 a </w:t>
      </w:r>
      <w:r w:rsidRPr="007572D6">
        <w:rPr>
          <w:rFonts w:ascii="DecimaWE Rg" w:hAnsi="DecimaWE Rg"/>
          <w:b/>
          <w:sz w:val="23"/>
          <w:szCs w:val="23"/>
        </w:rPr>
        <w:t>230 milioni di euro</w:t>
      </w:r>
      <w:r>
        <w:rPr>
          <w:rFonts w:ascii="DecimaWE Rg" w:hAnsi="DecimaWE Rg"/>
          <w:b/>
          <w:sz w:val="23"/>
          <w:szCs w:val="23"/>
        </w:rPr>
        <w:t xml:space="preserve"> </w:t>
      </w:r>
      <w:r>
        <w:rPr>
          <w:rFonts w:ascii="DecimaWE Rg" w:hAnsi="DecimaWE Rg"/>
          <w:sz w:val="23"/>
          <w:szCs w:val="23"/>
        </w:rPr>
        <w:t>circa.</w:t>
      </w:r>
    </w:p>
    <w:p w:rsidR="00C51886" w:rsidRPr="00923F8F" w:rsidRDefault="00C51886" w:rsidP="00C51886">
      <w:pPr>
        <w:numPr>
          <w:ilvl w:val="0"/>
          <w:numId w:val="12"/>
        </w:numPr>
        <w:spacing w:before="120"/>
        <w:jc w:val="both"/>
        <w:rPr>
          <w:rFonts w:ascii="DecimaWE Rg" w:hAnsi="DecimaWE Rg"/>
          <w:sz w:val="23"/>
          <w:szCs w:val="23"/>
        </w:rPr>
      </w:pPr>
      <w:r w:rsidRPr="007572D6">
        <w:rPr>
          <w:rFonts w:ascii="DecimaWE Rg" w:hAnsi="DecimaWE Rg"/>
          <w:b/>
          <w:sz w:val="23"/>
          <w:szCs w:val="23"/>
        </w:rPr>
        <w:t>Fondi di riserva</w:t>
      </w:r>
      <w:r>
        <w:rPr>
          <w:rFonts w:ascii="DecimaWE Rg" w:hAnsi="DecimaWE Rg"/>
          <w:sz w:val="23"/>
          <w:szCs w:val="23"/>
        </w:rPr>
        <w:t xml:space="preserve">: il totale dei fondi di riserva (per le spese impreviste, per le spese obbligatorie, per garantire la </w:t>
      </w:r>
      <w:proofErr w:type="spellStart"/>
      <w:r>
        <w:rPr>
          <w:rFonts w:ascii="DecimaWE Rg" w:hAnsi="DecimaWE Rg"/>
          <w:sz w:val="23"/>
          <w:szCs w:val="23"/>
        </w:rPr>
        <w:t>reiscrizione</w:t>
      </w:r>
      <w:proofErr w:type="spellEnd"/>
      <w:r>
        <w:rPr>
          <w:rFonts w:ascii="DecimaWE Rg" w:hAnsi="DecimaWE Rg"/>
          <w:sz w:val="23"/>
          <w:szCs w:val="23"/>
        </w:rPr>
        <w:t xml:space="preserve"> dei residui perenti eventualmente reclamati dai creditori, per la copertura delle garanzie prestate dalla Regione, ecc.) e dei fondi per la copertura degli interventi legislativi in itinere, ammonta nel 2015 a circa </w:t>
      </w:r>
      <w:r>
        <w:rPr>
          <w:rFonts w:ascii="DecimaWE Rg" w:hAnsi="DecimaWE Rg"/>
          <w:b/>
          <w:sz w:val="23"/>
          <w:szCs w:val="23"/>
        </w:rPr>
        <w:t>75</w:t>
      </w:r>
      <w:r w:rsidRPr="007572D6">
        <w:rPr>
          <w:rFonts w:ascii="DecimaWE Rg" w:hAnsi="DecimaWE Rg"/>
          <w:b/>
          <w:sz w:val="23"/>
          <w:szCs w:val="23"/>
        </w:rPr>
        <w:t xml:space="preserve"> milioni di euro</w:t>
      </w:r>
      <w:r>
        <w:rPr>
          <w:rFonts w:ascii="DecimaWE Rg" w:hAnsi="DecimaWE Rg"/>
          <w:sz w:val="23"/>
          <w:szCs w:val="23"/>
        </w:rPr>
        <w:t>.</w:t>
      </w:r>
    </w:p>
    <w:p w:rsidR="00C51886" w:rsidRPr="009C5C83" w:rsidRDefault="00C51886" w:rsidP="00C51886">
      <w:pPr>
        <w:numPr>
          <w:ilvl w:val="0"/>
          <w:numId w:val="12"/>
        </w:numPr>
        <w:spacing w:before="120"/>
        <w:jc w:val="both"/>
        <w:rPr>
          <w:rFonts w:ascii="DecimaWE Rg" w:hAnsi="DecimaWE Rg"/>
          <w:sz w:val="23"/>
          <w:szCs w:val="23"/>
        </w:rPr>
      </w:pPr>
      <w:r w:rsidRPr="007572D6">
        <w:rPr>
          <w:rFonts w:ascii="DecimaWE Rg" w:hAnsi="DecimaWE Rg"/>
          <w:b/>
          <w:sz w:val="23"/>
          <w:szCs w:val="23"/>
        </w:rPr>
        <w:t>Avanzo vincolato</w:t>
      </w:r>
      <w:r>
        <w:rPr>
          <w:rFonts w:ascii="DecimaWE Rg" w:hAnsi="DecimaWE Rg"/>
          <w:sz w:val="23"/>
          <w:szCs w:val="23"/>
        </w:rPr>
        <w:t>: le poste iscritte a titolo di avanzo vincolato hanno, come è ovvio, un vincolo di destinazione, perciò vengono ricomprese tra le risorse “non manovrabili”. Nel bilancio di previsione 2015, tuttavia, il loro importo è piuttosto ridotto (circa 2 milioni di euro).</w:t>
      </w:r>
    </w:p>
    <w:p w:rsidR="00C51886" w:rsidRDefault="00C51886" w:rsidP="00C51886">
      <w:pPr>
        <w:spacing w:before="120"/>
        <w:jc w:val="both"/>
        <w:rPr>
          <w:rFonts w:ascii="DecimaWE Rg" w:hAnsi="DecimaWE Rg"/>
          <w:sz w:val="23"/>
          <w:szCs w:val="23"/>
        </w:rPr>
      </w:pPr>
      <w:r>
        <w:rPr>
          <w:rFonts w:ascii="DecimaWE Rg" w:hAnsi="DecimaWE Rg"/>
          <w:sz w:val="23"/>
          <w:szCs w:val="23"/>
        </w:rPr>
        <w:t xml:space="preserve">Se al totale del bilancio di previsione 2015 (circa 6.783 milioni di euro) andiamo a detrarre gli importi relativi ai nove aggregati così individuati, otteniamo un saldo di circa </w:t>
      </w:r>
      <w:r w:rsidRPr="00B40D38">
        <w:rPr>
          <w:rFonts w:ascii="DecimaWE Rg" w:hAnsi="DecimaWE Rg"/>
          <w:b/>
          <w:sz w:val="23"/>
          <w:szCs w:val="23"/>
        </w:rPr>
        <w:t>3.5</w:t>
      </w:r>
      <w:r>
        <w:rPr>
          <w:rFonts w:ascii="DecimaWE Rg" w:hAnsi="DecimaWE Rg"/>
          <w:b/>
          <w:sz w:val="23"/>
          <w:szCs w:val="23"/>
        </w:rPr>
        <w:t>60</w:t>
      </w:r>
      <w:r w:rsidRPr="00B40D38">
        <w:rPr>
          <w:rFonts w:ascii="DecimaWE Rg" w:hAnsi="DecimaWE Rg"/>
          <w:b/>
          <w:sz w:val="23"/>
          <w:szCs w:val="23"/>
        </w:rPr>
        <w:t xml:space="preserve"> milioni di euro</w:t>
      </w:r>
      <w:r>
        <w:rPr>
          <w:rFonts w:ascii="DecimaWE Rg" w:hAnsi="DecimaWE Rg"/>
          <w:sz w:val="23"/>
          <w:szCs w:val="23"/>
        </w:rPr>
        <w:t xml:space="preserve">; va ricordato che con tale saldo va assicurata copertura anche ad alcune spese che hanno natura difficilmente comprimibile (spese di funzionamento dell’amministrazione regionale, spesa corrente sanitaria, trasporto pubblico locale, assegnazioni alla finanza locale). </w:t>
      </w:r>
    </w:p>
    <w:p w:rsidR="00C51886" w:rsidRDefault="00C51886" w:rsidP="00030C21">
      <w:pPr>
        <w:spacing w:before="120"/>
        <w:jc w:val="both"/>
        <w:rPr>
          <w:rFonts w:ascii="DecimaWE Rg" w:hAnsi="DecimaWE Rg"/>
          <w:color w:val="0070C0"/>
          <w:sz w:val="23"/>
          <w:szCs w:val="23"/>
        </w:rPr>
      </w:pPr>
    </w:p>
    <w:p w:rsidR="00030C21" w:rsidRPr="00C51886" w:rsidRDefault="00030C21" w:rsidP="00030C21">
      <w:pPr>
        <w:pStyle w:val="Titolo3"/>
        <w:rPr>
          <w:rFonts w:ascii="DecimaWE Rg" w:hAnsi="DecimaWE Rg"/>
        </w:rPr>
      </w:pPr>
      <w:bookmarkStart w:id="58" w:name="_Toc249952461"/>
      <w:bookmarkStart w:id="59" w:name="_Toc283113979"/>
      <w:bookmarkStart w:id="60" w:name="_Toc314486910"/>
      <w:bookmarkStart w:id="61" w:name="_Toc344460505"/>
      <w:bookmarkStart w:id="62" w:name="_Toc375578729"/>
      <w:r w:rsidRPr="00C51886">
        <w:rPr>
          <w:rFonts w:ascii="DecimaWE Rg" w:hAnsi="DecimaWE Rg"/>
        </w:rPr>
        <w:t>Il quadro della spesa per Finalità</w:t>
      </w:r>
      <w:bookmarkEnd w:id="58"/>
      <w:bookmarkEnd w:id="59"/>
      <w:bookmarkEnd w:id="60"/>
      <w:bookmarkEnd w:id="61"/>
      <w:bookmarkEnd w:id="62"/>
    </w:p>
    <w:p w:rsidR="00030C21" w:rsidRDefault="00A56A0E" w:rsidP="00030C21">
      <w:pPr>
        <w:spacing w:before="120"/>
        <w:jc w:val="both"/>
        <w:rPr>
          <w:rFonts w:ascii="DecimaWE Rg" w:hAnsi="DecimaWE Rg"/>
          <w:sz w:val="23"/>
          <w:szCs w:val="23"/>
        </w:rPr>
      </w:pPr>
      <w:r w:rsidRPr="00C51886">
        <w:rPr>
          <w:rFonts w:ascii="DecimaWE Rg" w:hAnsi="DecimaWE Rg"/>
          <w:sz w:val="23"/>
          <w:szCs w:val="23"/>
        </w:rPr>
        <w:t xml:space="preserve">La tabella ed il grafico seguente illustrano </w:t>
      </w:r>
      <w:r w:rsidR="00030C21" w:rsidRPr="00C51886">
        <w:rPr>
          <w:rFonts w:ascii="DecimaWE Rg" w:hAnsi="DecimaWE Rg"/>
          <w:sz w:val="23"/>
          <w:szCs w:val="23"/>
        </w:rPr>
        <w:t>la classifica</w:t>
      </w:r>
      <w:r w:rsidRPr="00C51886">
        <w:rPr>
          <w:rFonts w:ascii="DecimaWE Rg" w:hAnsi="DecimaWE Rg"/>
          <w:sz w:val="23"/>
          <w:szCs w:val="23"/>
        </w:rPr>
        <w:t>zione della spesa per finalità</w:t>
      </w:r>
      <w:r w:rsidR="00703740" w:rsidRPr="00C51886">
        <w:rPr>
          <w:rFonts w:ascii="DecimaWE Rg" w:hAnsi="DecimaWE Rg"/>
          <w:sz w:val="23"/>
          <w:szCs w:val="23"/>
        </w:rPr>
        <w:t>,</w:t>
      </w:r>
      <w:r w:rsidRPr="00C51886">
        <w:rPr>
          <w:rFonts w:ascii="DecimaWE Rg" w:hAnsi="DecimaWE Rg"/>
          <w:sz w:val="23"/>
          <w:szCs w:val="23"/>
        </w:rPr>
        <w:t xml:space="preserve"> corrispondente alla </w:t>
      </w:r>
      <w:r w:rsidR="00030C21" w:rsidRPr="00C51886">
        <w:rPr>
          <w:rFonts w:ascii="DecimaWE Rg" w:hAnsi="DecimaWE Rg"/>
          <w:sz w:val="23"/>
          <w:szCs w:val="23"/>
        </w:rPr>
        <w:t xml:space="preserve">destinazione delle risorse in relazione agli ambiti generali d’intervento della Regione e in relazione </w:t>
      </w:r>
      <w:r w:rsidRPr="00C51886">
        <w:rPr>
          <w:rFonts w:ascii="DecimaWE Rg" w:hAnsi="DecimaWE Rg"/>
          <w:sz w:val="23"/>
          <w:szCs w:val="23"/>
        </w:rPr>
        <w:t>al funzionamento della medesima</w:t>
      </w:r>
      <w:r w:rsidR="00030C21" w:rsidRPr="00C51886">
        <w:rPr>
          <w:rFonts w:ascii="DecimaWE Rg" w:hAnsi="DecimaWE Rg"/>
          <w:sz w:val="23"/>
          <w:szCs w:val="23"/>
        </w:rPr>
        <w:t>.</w:t>
      </w:r>
    </w:p>
    <w:p w:rsidR="00AD013C" w:rsidRPr="00C51886" w:rsidRDefault="00AD013C" w:rsidP="00030C21">
      <w:pPr>
        <w:spacing w:before="120"/>
        <w:jc w:val="both"/>
        <w:rPr>
          <w:rFonts w:ascii="DecimaWE Rg" w:hAnsi="DecimaWE Rg"/>
          <w:sz w:val="23"/>
          <w:szCs w:val="23"/>
        </w:rPr>
      </w:pPr>
    </w:p>
    <w:p w:rsidR="00030C21" w:rsidRPr="00E95C1B" w:rsidRDefault="00030C21" w:rsidP="00030C21">
      <w:pPr>
        <w:jc w:val="center"/>
        <w:rPr>
          <w:rFonts w:ascii="DecimaWE Rg" w:hAnsi="DecimaWE Rg" w:cs="Arial"/>
          <w:b/>
          <w:sz w:val="28"/>
          <w:szCs w:val="28"/>
        </w:rPr>
      </w:pPr>
      <w:r w:rsidRPr="00E95C1B">
        <w:rPr>
          <w:rFonts w:ascii="DecimaWE Rg" w:hAnsi="DecimaWE Rg" w:cs="Arial"/>
          <w:b/>
          <w:sz w:val="28"/>
          <w:szCs w:val="28"/>
        </w:rPr>
        <w:t>SPESE 201</w:t>
      </w:r>
      <w:r w:rsidR="00E95C1B" w:rsidRPr="00E95C1B">
        <w:rPr>
          <w:rFonts w:ascii="DecimaWE Rg" w:hAnsi="DecimaWE Rg" w:cs="Arial"/>
          <w:b/>
          <w:sz w:val="28"/>
          <w:szCs w:val="28"/>
        </w:rPr>
        <w:t>5</w:t>
      </w:r>
      <w:r w:rsidRPr="00E95C1B">
        <w:rPr>
          <w:rFonts w:ascii="DecimaWE Rg" w:hAnsi="DecimaWE Rg" w:cs="Arial"/>
          <w:b/>
          <w:sz w:val="28"/>
          <w:szCs w:val="28"/>
        </w:rPr>
        <w:t xml:space="preserve"> – 201</w:t>
      </w:r>
      <w:r w:rsidR="00E95C1B" w:rsidRPr="00E95C1B">
        <w:rPr>
          <w:rFonts w:ascii="DecimaWE Rg" w:hAnsi="DecimaWE Rg" w:cs="Arial"/>
          <w:b/>
          <w:sz w:val="28"/>
          <w:szCs w:val="28"/>
        </w:rPr>
        <w:t>7</w:t>
      </w:r>
    </w:p>
    <w:p w:rsidR="00030C21" w:rsidRPr="00E95C1B" w:rsidRDefault="00030C21" w:rsidP="00030C21">
      <w:pPr>
        <w:spacing w:after="600"/>
        <w:jc w:val="center"/>
        <w:rPr>
          <w:rFonts w:ascii="DecimaWE Rg" w:hAnsi="DecimaWE Rg"/>
          <w:b/>
          <w:sz w:val="20"/>
          <w:szCs w:val="20"/>
        </w:rPr>
      </w:pPr>
      <w:r w:rsidRPr="00E95C1B">
        <w:rPr>
          <w:rFonts w:ascii="DecimaWE Rg" w:hAnsi="DecimaWE Rg"/>
          <w:b/>
          <w:sz w:val="20"/>
          <w:szCs w:val="20"/>
        </w:rPr>
        <w:t>(stanziamenti in milioni di Euro)</w:t>
      </w:r>
    </w:p>
    <w:tbl>
      <w:tblPr>
        <w:tblW w:w="0" w:type="auto"/>
        <w:tblCellMar>
          <w:left w:w="30" w:type="dxa"/>
          <w:right w:w="30" w:type="dxa"/>
        </w:tblCellMar>
        <w:tblLook w:val="0000" w:firstRow="0" w:lastRow="0" w:firstColumn="0" w:lastColumn="0" w:noHBand="0" w:noVBand="0"/>
      </w:tblPr>
      <w:tblGrid>
        <w:gridCol w:w="4022"/>
        <w:gridCol w:w="990"/>
        <w:gridCol w:w="990"/>
        <w:gridCol w:w="990"/>
        <w:gridCol w:w="990"/>
      </w:tblGrid>
      <w:tr w:rsidR="00E95C1B" w:rsidRPr="00E95C1B" w:rsidTr="00801B1D">
        <w:trPr>
          <w:trHeight w:val="403"/>
        </w:trPr>
        <w:tc>
          <w:tcPr>
            <w:tcW w:w="4022" w:type="dxa"/>
            <w:tcBorders>
              <w:top w:val="single" w:sz="6" w:space="0" w:color="000000"/>
              <w:left w:val="single" w:sz="6" w:space="0" w:color="000000"/>
              <w:bottom w:val="single" w:sz="6" w:space="0" w:color="000000"/>
              <w:right w:val="none" w:sz="0" w:space="0" w:color="000000"/>
            </w:tcBorders>
            <w:shd w:val="clear" w:color="auto" w:fill="FFFFFF"/>
            <w:vAlign w:val="center"/>
          </w:tcPr>
          <w:p w:rsidR="00E95C1B" w:rsidRPr="00E95C1B" w:rsidRDefault="00E95C1B" w:rsidP="00801B1D">
            <w:pPr>
              <w:autoSpaceDE w:val="0"/>
              <w:autoSpaceDN w:val="0"/>
              <w:adjustRightInd w:val="0"/>
              <w:jc w:val="center"/>
              <w:rPr>
                <w:rFonts w:ascii="DecimaWE Rg" w:hAnsi="DecimaWE Rg"/>
                <w:b/>
                <w:bCs/>
                <w:sz w:val="20"/>
                <w:szCs w:val="20"/>
              </w:rPr>
            </w:pPr>
            <w:r w:rsidRPr="00E95C1B">
              <w:rPr>
                <w:rFonts w:ascii="DecimaWE Rg" w:hAnsi="DecimaWE Rg"/>
                <w:b/>
                <w:bCs/>
                <w:sz w:val="20"/>
                <w:szCs w:val="20"/>
              </w:rPr>
              <w:t>FINAL</w:t>
            </w:r>
            <w:r w:rsidRPr="00E95C1B">
              <w:rPr>
                <w:rFonts w:ascii="DecimaWE Rg" w:hAnsi="DecimaWE Rg"/>
                <w:b/>
                <w:bCs/>
                <w:caps/>
                <w:sz w:val="20"/>
                <w:szCs w:val="20"/>
              </w:rPr>
              <w:t>ITà</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jc w:val="center"/>
              <w:rPr>
                <w:rFonts w:ascii="DecimaWE Rg" w:hAnsi="DecimaWE Rg" w:cs="DecimaWE Rg"/>
                <w:b/>
                <w:sz w:val="20"/>
                <w:szCs w:val="20"/>
              </w:rPr>
            </w:pPr>
            <w:r w:rsidRPr="00E95C1B">
              <w:rPr>
                <w:rFonts w:ascii="DecimaWE Rg" w:hAnsi="DecimaWE Rg" w:cs="DecimaWE Rg"/>
                <w:b/>
                <w:sz w:val="20"/>
                <w:szCs w:val="20"/>
              </w:rPr>
              <w:t>2014 iniziale</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jc w:val="center"/>
              <w:rPr>
                <w:rFonts w:ascii="DecimaWE Rg" w:hAnsi="DecimaWE Rg" w:cs="DecimaWE Rg"/>
                <w:b/>
                <w:sz w:val="20"/>
                <w:szCs w:val="20"/>
              </w:rPr>
            </w:pPr>
            <w:r w:rsidRPr="00E95C1B">
              <w:rPr>
                <w:rFonts w:ascii="DecimaWE Rg" w:hAnsi="DecimaWE Rg" w:cs="DecimaWE Rg"/>
                <w:b/>
                <w:sz w:val="20"/>
                <w:szCs w:val="20"/>
              </w:rPr>
              <w:t>2015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jc w:val="center"/>
              <w:rPr>
                <w:rFonts w:ascii="DecimaWE Rg" w:hAnsi="DecimaWE Rg" w:cs="DecimaWE Rg"/>
                <w:b/>
                <w:sz w:val="20"/>
                <w:szCs w:val="20"/>
              </w:rPr>
            </w:pPr>
            <w:r w:rsidRPr="00E95C1B">
              <w:rPr>
                <w:rFonts w:ascii="DecimaWE Rg" w:hAnsi="DecimaWE Rg" w:cs="DecimaWE Rg"/>
                <w:b/>
                <w:sz w:val="20"/>
                <w:szCs w:val="20"/>
              </w:rPr>
              <w:t>2016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jc w:val="center"/>
              <w:rPr>
                <w:rFonts w:ascii="DecimaWE Rg" w:hAnsi="DecimaWE Rg" w:cs="DecimaWE Rg"/>
                <w:b/>
                <w:sz w:val="20"/>
                <w:szCs w:val="20"/>
              </w:rPr>
            </w:pPr>
            <w:r w:rsidRPr="00E95C1B">
              <w:rPr>
                <w:rFonts w:ascii="DecimaWE Rg" w:hAnsi="DecimaWE Rg" w:cs="DecimaWE Rg"/>
                <w:b/>
                <w:sz w:val="20"/>
                <w:szCs w:val="20"/>
              </w:rPr>
              <w:t>2017</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1 - Attività economiche</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124,48</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159,88</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133,52</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128,35</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2 - Tutela dell'ambiente e difesa del territorio</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19,09</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14,21</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11,90</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11,83</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3 - Gestione del territorio</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248,85</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243,33</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238,11</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235,53</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4</w:t>
            </w:r>
            <w:r w:rsidRPr="00E95C1B">
              <w:rPr>
                <w:rFonts w:ascii="DecimaWE Rg" w:hAnsi="DecimaWE Rg" w:cs="DecimaWE Rg"/>
                <w:b/>
                <w:sz w:val="20"/>
                <w:szCs w:val="20"/>
              </w:rPr>
              <w:t xml:space="preserve"> </w:t>
            </w:r>
            <w:r w:rsidRPr="00E95C1B">
              <w:rPr>
                <w:rFonts w:ascii="DecimaWE Rg" w:hAnsi="DecimaWE Rg" w:cs="DecimaWE Rg"/>
                <w:sz w:val="20"/>
                <w:szCs w:val="20"/>
              </w:rPr>
              <w:t>- Infrastrutture, trasporti, telecomunicazioni</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71,17</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55,31</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52,96</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64,54</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5 - Attività culturali, ricreative e sportive</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86,23</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89,79</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81,66</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79,01</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6 - Istruzione, formazione e ricerca</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95,38</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97,11</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76,64</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74,41</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7 - Sanità pubblica</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2.164,65</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2.179,98</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2.108,52</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2.124,44</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8 - Protezione sociale</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356,90</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379,98</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335,07</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325,04</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9 - Sussidiarietà e devoluzione</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507,07</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493,62</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473,55</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473,75</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10 - Affari istituzionali, economici e fiscali generali</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1.182,72</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2.650,68</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2.618,94</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2.602,12</w:t>
            </w:r>
          </w:p>
        </w:tc>
      </w:tr>
      <w:tr w:rsidR="00E95C1B" w:rsidRPr="00E95C1B" w:rsidTr="00801B1D">
        <w:trPr>
          <w:trHeight w:val="272"/>
        </w:trPr>
        <w:tc>
          <w:tcPr>
            <w:tcW w:w="4022" w:type="dxa"/>
            <w:tcBorders>
              <w:left w:val="single" w:sz="6" w:space="0" w:color="000000"/>
              <w:bottom w:val="single" w:sz="6" w:space="0" w:color="000000"/>
              <w:right w:val="single" w:sz="6" w:space="0" w:color="000000"/>
            </w:tcBorders>
            <w:shd w:val="clear" w:color="auto" w:fill="FFFFFF"/>
            <w:vAlign w:val="center"/>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11 - Funzionamento della regione</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298,13</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305,97</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298,34</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297,24</w:t>
            </w:r>
          </w:p>
        </w:tc>
      </w:tr>
      <w:tr w:rsidR="00E95C1B" w:rsidRPr="00E95C1B" w:rsidTr="00801B1D">
        <w:trPr>
          <w:trHeight w:val="272"/>
        </w:trPr>
        <w:tc>
          <w:tcPr>
            <w:tcW w:w="4022" w:type="dxa"/>
            <w:tcBorders>
              <w:left w:val="single" w:sz="6" w:space="0" w:color="000000"/>
              <w:bottom w:val="none" w:sz="0" w:space="0" w:color="000000"/>
              <w:right w:val="single" w:sz="6" w:space="0" w:color="000000"/>
            </w:tcBorders>
            <w:shd w:val="clear" w:color="auto" w:fill="FFFFFF"/>
          </w:tcPr>
          <w:p w:rsidR="00E95C1B" w:rsidRPr="00E95C1B" w:rsidRDefault="00E95C1B" w:rsidP="00801B1D">
            <w:pPr>
              <w:autoSpaceDE w:val="0"/>
              <w:autoSpaceDN w:val="0"/>
              <w:adjustRightInd w:val="0"/>
              <w:rPr>
                <w:rFonts w:ascii="DecimaWE Rg" w:hAnsi="DecimaWE Rg" w:cs="DecimaWE Rg"/>
                <w:bCs/>
                <w:sz w:val="20"/>
                <w:szCs w:val="20"/>
              </w:rPr>
            </w:pPr>
            <w:r w:rsidRPr="00E95C1B">
              <w:rPr>
                <w:rFonts w:ascii="DecimaWE Rg" w:hAnsi="DecimaWE Rg" w:cs="DecimaWE Rg"/>
                <w:sz w:val="20"/>
                <w:szCs w:val="20"/>
              </w:rPr>
              <w:t>12 - Partite di giro</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1.560,19</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113,62</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113,12</w:t>
            </w:r>
          </w:p>
        </w:tc>
        <w:tc>
          <w:tcPr>
            <w:tcW w:w="990" w:type="dxa"/>
            <w:tcBorders>
              <w:top w:val="single" w:sz="6" w:space="0" w:color="000000"/>
              <w:left w:val="single" w:sz="6" w:space="0" w:color="000000"/>
              <w:bottom w:val="single" w:sz="6" w:space="0" w:color="000000"/>
              <w:right w:val="single" w:sz="6" w:space="0" w:color="000000"/>
            </w:tcBorders>
            <w:shd w:val="clear" w:color="auto" w:fill="E0E0E0"/>
            <w:noWrap/>
            <w:vAlign w:val="center"/>
          </w:tcPr>
          <w:p w:rsidR="00E95C1B" w:rsidRPr="00E95C1B" w:rsidRDefault="00E95C1B" w:rsidP="00801B1D">
            <w:pPr>
              <w:jc w:val="right"/>
              <w:rPr>
                <w:rFonts w:ascii="DecimaWE Rg" w:hAnsi="DecimaWE Rg" w:cs="Arial"/>
                <w:i/>
                <w:iCs/>
                <w:sz w:val="20"/>
                <w:szCs w:val="20"/>
              </w:rPr>
            </w:pPr>
            <w:r w:rsidRPr="00E95C1B">
              <w:rPr>
                <w:rFonts w:ascii="DecimaWE Rg" w:hAnsi="DecimaWE Rg" w:cs="Arial"/>
                <w:i/>
                <w:iCs/>
                <w:sz w:val="20"/>
                <w:szCs w:val="20"/>
              </w:rPr>
              <w:t>113,12</w:t>
            </w:r>
          </w:p>
        </w:tc>
      </w:tr>
      <w:tr w:rsidR="00E95C1B" w:rsidRPr="00E95C1B" w:rsidTr="00801B1D">
        <w:trPr>
          <w:trHeight w:val="272"/>
        </w:trPr>
        <w:tc>
          <w:tcPr>
            <w:tcW w:w="4022" w:type="dxa"/>
            <w:tcBorders>
              <w:top w:val="none" w:sz="0" w:space="0" w:color="000000"/>
              <w:left w:val="none" w:sz="0" w:space="0" w:color="000000"/>
              <w:bottom w:val="none" w:sz="0" w:space="0" w:color="000000"/>
              <w:right w:val="single" w:sz="6" w:space="0" w:color="000000"/>
            </w:tcBorders>
            <w:shd w:val="clear" w:color="auto" w:fill="FFFFFF"/>
          </w:tcPr>
          <w:p w:rsidR="00E95C1B" w:rsidRPr="00E95C1B" w:rsidRDefault="00E95C1B" w:rsidP="00801B1D">
            <w:pPr>
              <w:autoSpaceDE w:val="0"/>
              <w:autoSpaceDN w:val="0"/>
              <w:adjustRightInd w:val="0"/>
              <w:jc w:val="right"/>
              <w:rPr>
                <w:rFonts w:ascii="DecimaWE Rg" w:hAnsi="DecimaWE Rg" w:cs="DecimaWE Rg"/>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noWrap/>
            <w:vAlign w:val="center"/>
          </w:tcPr>
          <w:p w:rsidR="00E95C1B" w:rsidRPr="00E95C1B" w:rsidRDefault="00E95C1B" w:rsidP="00801B1D">
            <w:pPr>
              <w:jc w:val="right"/>
              <w:rPr>
                <w:rFonts w:ascii="DecimaWE Rg" w:hAnsi="DecimaWE Rg" w:cs="Arial"/>
                <w:b/>
                <w:bCs/>
                <w:i/>
                <w:iCs/>
                <w:sz w:val="20"/>
                <w:szCs w:val="20"/>
              </w:rPr>
            </w:pPr>
            <w:r w:rsidRPr="00E95C1B">
              <w:rPr>
                <w:rFonts w:ascii="DecimaWE Rg" w:hAnsi="DecimaWE Rg" w:cs="Arial"/>
                <w:b/>
                <w:bCs/>
                <w:i/>
                <w:iCs/>
                <w:sz w:val="20"/>
                <w:szCs w:val="20"/>
              </w:rPr>
              <w:t>6.714,85</w:t>
            </w:r>
          </w:p>
        </w:tc>
        <w:tc>
          <w:tcPr>
            <w:tcW w:w="990" w:type="dxa"/>
            <w:tcBorders>
              <w:top w:val="single" w:sz="6" w:space="0" w:color="000000"/>
              <w:left w:val="single" w:sz="6" w:space="0" w:color="000000"/>
              <w:bottom w:val="single" w:sz="6" w:space="0" w:color="000000"/>
              <w:right w:val="single" w:sz="6" w:space="0" w:color="000000"/>
            </w:tcBorders>
            <w:shd w:val="clear" w:color="auto" w:fill="D9D9D9"/>
            <w:noWrap/>
            <w:vAlign w:val="center"/>
          </w:tcPr>
          <w:p w:rsidR="00E95C1B" w:rsidRPr="00E95C1B" w:rsidRDefault="00E95C1B" w:rsidP="00801B1D">
            <w:pPr>
              <w:jc w:val="right"/>
              <w:rPr>
                <w:rFonts w:ascii="DecimaWE Rg" w:hAnsi="DecimaWE Rg" w:cs="Arial"/>
                <w:b/>
                <w:bCs/>
                <w:i/>
                <w:iCs/>
                <w:sz w:val="20"/>
                <w:szCs w:val="20"/>
              </w:rPr>
            </w:pPr>
            <w:r w:rsidRPr="00E95C1B">
              <w:rPr>
                <w:rFonts w:ascii="DecimaWE Rg" w:hAnsi="DecimaWE Rg" w:cs="Arial"/>
                <w:b/>
                <w:bCs/>
                <w:i/>
                <w:iCs/>
                <w:sz w:val="20"/>
                <w:szCs w:val="20"/>
              </w:rPr>
              <w:t>6.783,48</w:t>
            </w:r>
          </w:p>
        </w:tc>
        <w:tc>
          <w:tcPr>
            <w:tcW w:w="990" w:type="dxa"/>
            <w:tcBorders>
              <w:top w:val="single" w:sz="6" w:space="0" w:color="000000"/>
              <w:left w:val="single" w:sz="6" w:space="0" w:color="000000"/>
              <w:bottom w:val="single" w:sz="6" w:space="0" w:color="000000"/>
              <w:right w:val="single" w:sz="6" w:space="0" w:color="000000"/>
            </w:tcBorders>
            <w:shd w:val="clear" w:color="auto" w:fill="D9D9D9"/>
            <w:noWrap/>
            <w:vAlign w:val="center"/>
          </w:tcPr>
          <w:p w:rsidR="00E95C1B" w:rsidRPr="00E95C1B" w:rsidRDefault="00E95C1B" w:rsidP="00801B1D">
            <w:pPr>
              <w:jc w:val="right"/>
              <w:rPr>
                <w:rFonts w:ascii="DecimaWE Rg" w:hAnsi="DecimaWE Rg" w:cs="Arial"/>
                <w:b/>
                <w:bCs/>
                <w:i/>
                <w:iCs/>
                <w:sz w:val="20"/>
                <w:szCs w:val="20"/>
              </w:rPr>
            </w:pPr>
            <w:r w:rsidRPr="00E95C1B">
              <w:rPr>
                <w:rFonts w:ascii="DecimaWE Rg" w:hAnsi="DecimaWE Rg" w:cs="Arial"/>
                <w:b/>
                <w:bCs/>
                <w:i/>
                <w:iCs/>
                <w:sz w:val="20"/>
                <w:szCs w:val="20"/>
              </w:rPr>
              <w:t>6.542,35</w:t>
            </w:r>
          </w:p>
        </w:tc>
        <w:tc>
          <w:tcPr>
            <w:tcW w:w="990" w:type="dxa"/>
            <w:tcBorders>
              <w:top w:val="single" w:sz="6" w:space="0" w:color="000000"/>
              <w:left w:val="single" w:sz="6" w:space="0" w:color="000000"/>
              <w:bottom w:val="single" w:sz="6" w:space="0" w:color="000000"/>
              <w:right w:val="single" w:sz="6" w:space="0" w:color="000000"/>
            </w:tcBorders>
            <w:shd w:val="clear" w:color="auto" w:fill="D9D9D9"/>
            <w:noWrap/>
            <w:vAlign w:val="center"/>
          </w:tcPr>
          <w:p w:rsidR="00E95C1B" w:rsidRPr="00E95C1B" w:rsidRDefault="00E95C1B" w:rsidP="00801B1D">
            <w:pPr>
              <w:jc w:val="right"/>
              <w:rPr>
                <w:rFonts w:ascii="DecimaWE Rg" w:hAnsi="DecimaWE Rg" w:cs="Arial"/>
                <w:b/>
                <w:bCs/>
                <w:i/>
                <w:iCs/>
                <w:sz w:val="20"/>
                <w:szCs w:val="20"/>
              </w:rPr>
            </w:pPr>
            <w:r w:rsidRPr="00E95C1B">
              <w:rPr>
                <w:rFonts w:ascii="DecimaWE Rg" w:hAnsi="DecimaWE Rg" w:cs="Arial"/>
                <w:b/>
                <w:bCs/>
                <w:i/>
                <w:iCs/>
                <w:sz w:val="20"/>
                <w:szCs w:val="20"/>
              </w:rPr>
              <w:t>6.529,38</w:t>
            </w:r>
          </w:p>
        </w:tc>
      </w:tr>
    </w:tbl>
    <w:p w:rsidR="00030C21" w:rsidRDefault="00030C21" w:rsidP="00030C21">
      <w:pPr>
        <w:rPr>
          <w:rFonts w:ascii="DecimaWE Rg" w:hAnsi="DecimaWE Rg"/>
          <w:color w:val="0070C0"/>
        </w:rPr>
      </w:pPr>
    </w:p>
    <w:p w:rsidR="00E95C1B" w:rsidRPr="00DF381D" w:rsidRDefault="00E95C1B" w:rsidP="00030C21">
      <w:pPr>
        <w:rPr>
          <w:rFonts w:ascii="DecimaWE Rg" w:hAnsi="DecimaWE Rg"/>
          <w:color w:val="0070C0"/>
        </w:rPr>
      </w:pPr>
    </w:p>
    <w:p w:rsidR="00777C4C" w:rsidRPr="00F22CC2" w:rsidRDefault="00E95C1B">
      <w:pPr>
        <w:rPr>
          <w:color w:val="0070C0"/>
        </w:rPr>
      </w:pPr>
      <w:r>
        <w:rPr>
          <w:noProof/>
        </w:rPr>
        <w:lastRenderedPageBreak/>
        <w:drawing>
          <wp:inline distT="0" distB="0" distL="0" distR="0" wp14:anchorId="6E77B0AB" wp14:editId="6E77B0AC">
            <wp:extent cx="6495691" cy="2717321"/>
            <wp:effectExtent l="0" t="0" r="19685" b="26035"/>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777C4C" w:rsidRPr="00F22C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53" w:rsidRDefault="00B92153" w:rsidP="00030C21">
      <w:r>
        <w:separator/>
      </w:r>
    </w:p>
  </w:endnote>
  <w:endnote w:type="continuationSeparator" w:id="0">
    <w:p w:rsidR="00B92153" w:rsidRDefault="00B92153" w:rsidP="0003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53" w:rsidRDefault="00B92153" w:rsidP="00030C21">
      <w:r>
        <w:separator/>
      </w:r>
    </w:p>
  </w:footnote>
  <w:footnote w:type="continuationSeparator" w:id="0">
    <w:p w:rsidR="00B92153" w:rsidRDefault="00B92153" w:rsidP="00030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3BB6"/>
    <w:multiLevelType w:val="hybridMultilevel"/>
    <w:tmpl w:val="0BE46C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5653AE"/>
    <w:multiLevelType w:val="hybridMultilevel"/>
    <w:tmpl w:val="1568BF3A"/>
    <w:lvl w:ilvl="0" w:tplc="96469648">
      <w:start w:val="1"/>
      <w:numFmt w:val="bullet"/>
      <w:lvlText w:val=""/>
      <w:lvlJc w:val="left"/>
      <w:pPr>
        <w:tabs>
          <w:tab w:val="num" w:pos="729"/>
        </w:tabs>
        <w:ind w:left="927" w:hanging="21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3324160"/>
    <w:multiLevelType w:val="hybridMultilevel"/>
    <w:tmpl w:val="99E2F5C8"/>
    <w:lvl w:ilvl="0" w:tplc="2A0A10CC">
      <w:start w:val="1"/>
      <w:numFmt w:val="bullet"/>
      <w:lvlText w:val=""/>
      <w:lvlJc w:val="left"/>
      <w:pPr>
        <w:tabs>
          <w:tab w:val="num" w:pos="720"/>
        </w:tabs>
        <w:ind w:left="720" w:hanging="360"/>
      </w:pPr>
      <w:rPr>
        <w:rFonts w:ascii="Symbol" w:hAnsi="Symbol" w:hint="default"/>
      </w:rPr>
    </w:lvl>
    <w:lvl w:ilvl="1" w:tplc="A8BA6F06">
      <w:start w:val="5"/>
      <w:numFmt w:val="bullet"/>
      <w:lvlText w:val="-"/>
      <w:lvlJc w:val="left"/>
      <w:pPr>
        <w:tabs>
          <w:tab w:val="num" w:pos="1440"/>
        </w:tabs>
        <w:ind w:left="1440" w:hanging="360"/>
      </w:pPr>
      <w:rPr>
        <w:rFonts w:ascii="DecimaWE Rg" w:eastAsia="Times New Roman" w:hAnsi="DecimaWE Rg"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CD6113B"/>
    <w:multiLevelType w:val="hybridMultilevel"/>
    <w:tmpl w:val="3DFE9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8C0CF2"/>
    <w:multiLevelType w:val="hybridMultilevel"/>
    <w:tmpl w:val="6B88D36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10D18AF"/>
    <w:multiLevelType w:val="hybridMultilevel"/>
    <w:tmpl w:val="6BDC4172"/>
    <w:lvl w:ilvl="0" w:tplc="2A0A10C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64B3553"/>
    <w:multiLevelType w:val="hybridMultilevel"/>
    <w:tmpl w:val="FD6E1872"/>
    <w:lvl w:ilvl="0" w:tplc="10805F8A">
      <w:start w:val="6"/>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E438E9"/>
    <w:multiLevelType w:val="hybridMultilevel"/>
    <w:tmpl w:val="25D81E36"/>
    <w:lvl w:ilvl="0" w:tplc="5D804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4D56BF"/>
    <w:multiLevelType w:val="hybridMultilevel"/>
    <w:tmpl w:val="6E22777A"/>
    <w:lvl w:ilvl="0" w:tplc="0290B6A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1C80BFE"/>
    <w:multiLevelType w:val="hybridMultilevel"/>
    <w:tmpl w:val="61C2E662"/>
    <w:lvl w:ilvl="0" w:tplc="5D804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2B46F3"/>
    <w:multiLevelType w:val="hybridMultilevel"/>
    <w:tmpl w:val="A14A257E"/>
    <w:lvl w:ilvl="0" w:tplc="2A0A10C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7B6826"/>
    <w:multiLevelType w:val="hybridMultilevel"/>
    <w:tmpl w:val="B28AF958"/>
    <w:lvl w:ilvl="0" w:tplc="10805F8A">
      <w:start w:val="6"/>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0"/>
  </w:num>
  <w:num w:numId="5">
    <w:abstractNumId w:val="2"/>
  </w:num>
  <w:num w:numId="6">
    <w:abstractNumId w:val="5"/>
  </w:num>
  <w:num w:numId="7">
    <w:abstractNumId w:val="4"/>
  </w:num>
  <w:num w:numId="8">
    <w:abstractNumId w:val="1"/>
  </w:num>
  <w:num w:numId="9">
    <w:abstractNumId w:val="8"/>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21"/>
    <w:rsid w:val="00030C21"/>
    <w:rsid w:val="000D648D"/>
    <w:rsid w:val="00121BA8"/>
    <w:rsid w:val="001A4C9A"/>
    <w:rsid w:val="0022176E"/>
    <w:rsid w:val="002908CC"/>
    <w:rsid w:val="002A4BC4"/>
    <w:rsid w:val="002C02A6"/>
    <w:rsid w:val="002C4A06"/>
    <w:rsid w:val="002E16E0"/>
    <w:rsid w:val="002F4988"/>
    <w:rsid w:val="003D155F"/>
    <w:rsid w:val="004223AE"/>
    <w:rsid w:val="00430B7B"/>
    <w:rsid w:val="00474A50"/>
    <w:rsid w:val="004A4845"/>
    <w:rsid w:val="004B1126"/>
    <w:rsid w:val="004C1B2D"/>
    <w:rsid w:val="004E6BB6"/>
    <w:rsid w:val="00520CB6"/>
    <w:rsid w:val="00522A74"/>
    <w:rsid w:val="005E4C27"/>
    <w:rsid w:val="006943B5"/>
    <w:rsid w:val="00703740"/>
    <w:rsid w:val="007549F1"/>
    <w:rsid w:val="00777C4C"/>
    <w:rsid w:val="007B6092"/>
    <w:rsid w:val="009C7141"/>
    <w:rsid w:val="00A43457"/>
    <w:rsid w:val="00A56A0E"/>
    <w:rsid w:val="00A669A1"/>
    <w:rsid w:val="00AB34E8"/>
    <w:rsid w:val="00AD013C"/>
    <w:rsid w:val="00AD1D0A"/>
    <w:rsid w:val="00AF281E"/>
    <w:rsid w:val="00B073F8"/>
    <w:rsid w:val="00B44872"/>
    <w:rsid w:val="00B92153"/>
    <w:rsid w:val="00C3749F"/>
    <w:rsid w:val="00C51886"/>
    <w:rsid w:val="00CE07FC"/>
    <w:rsid w:val="00D43F27"/>
    <w:rsid w:val="00DC03EA"/>
    <w:rsid w:val="00DD2798"/>
    <w:rsid w:val="00DF381D"/>
    <w:rsid w:val="00E03100"/>
    <w:rsid w:val="00E95C1B"/>
    <w:rsid w:val="00EC76BA"/>
    <w:rsid w:val="00F0042C"/>
    <w:rsid w:val="00F05D5E"/>
    <w:rsid w:val="00F16521"/>
    <w:rsid w:val="00F22CC2"/>
    <w:rsid w:val="00F94268"/>
    <w:rsid w:val="00F96AD2"/>
    <w:rsid w:val="00FA3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2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030C2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30C2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30C21"/>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030C21"/>
    <w:rPr>
      <w:rFonts w:ascii="Arial" w:eastAsia="Times New Roman" w:hAnsi="Arial" w:cs="Arial"/>
      <w:b/>
      <w:bCs/>
      <w:sz w:val="26"/>
      <w:szCs w:val="26"/>
      <w:lang w:eastAsia="it-IT"/>
    </w:rPr>
  </w:style>
  <w:style w:type="paragraph" w:styleId="Intestazione">
    <w:name w:val="header"/>
    <w:basedOn w:val="Normale"/>
    <w:link w:val="IntestazioneCarattere"/>
    <w:rsid w:val="00030C21"/>
    <w:pPr>
      <w:tabs>
        <w:tab w:val="center" w:pos="4819"/>
        <w:tab w:val="right" w:pos="9638"/>
      </w:tabs>
    </w:pPr>
  </w:style>
  <w:style w:type="character" w:customStyle="1" w:styleId="IntestazioneCarattere">
    <w:name w:val="Intestazione Carattere"/>
    <w:basedOn w:val="Carpredefinitoparagrafo"/>
    <w:link w:val="Intestazione"/>
    <w:rsid w:val="00030C21"/>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39"/>
    <w:rsid w:val="00030C21"/>
    <w:pPr>
      <w:ind w:left="480"/>
    </w:pPr>
    <w:rPr>
      <w:rFonts w:ascii="DecimaWE Rg" w:hAnsi="DecimaWE Rg"/>
    </w:rPr>
  </w:style>
  <w:style w:type="paragraph" w:customStyle="1" w:styleId="CarattereCarattere3CarattereCarattereCarattereCarattereCarattereCarattere">
    <w:name w:val="Carattere Carattere3 Carattere Carattere Carattere Carattere Carattere Carattere"/>
    <w:basedOn w:val="Normale"/>
    <w:rsid w:val="00030C21"/>
    <w:pPr>
      <w:spacing w:after="160" w:line="240" w:lineRule="exact"/>
    </w:pPr>
    <w:rPr>
      <w:rFonts w:ascii="Tahoma" w:hAnsi="Tahoma" w:cs="Tahoma"/>
      <w:sz w:val="20"/>
      <w:szCs w:val="20"/>
      <w:lang w:val="en-US" w:eastAsia="en-US"/>
    </w:rPr>
  </w:style>
  <w:style w:type="paragraph" w:styleId="Paragrafoelenco">
    <w:name w:val="List Paragraph"/>
    <w:basedOn w:val="Normale"/>
    <w:uiPriority w:val="34"/>
    <w:qFormat/>
    <w:rsid w:val="00030C21"/>
    <w:pPr>
      <w:spacing w:after="200" w:line="276" w:lineRule="auto"/>
      <w:ind w:left="720"/>
      <w:contextualSpacing/>
    </w:pPr>
    <w:rPr>
      <w:rFonts w:ascii="Calibri" w:eastAsia="Calibri" w:hAnsi="Calibri"/>
      <w:sz w:val="22"/>
      <w:szCs w:val="22"/>
      <w:lang w:eastAsia="en-US"/>
    </w:rPr>
  </w:style>
  <w:style w:type="paragraph" w:styleId="Pidipagina">
    <w:name w:val="footer"/>
    <w:basedOn w:val="Normale"/>
    <w:link w:val="PidipaginaCarattere"/>
    <w:uiPriority w:val="99"/>
    <w:unhideWhenUsed/>
    <w:rsid w:val="00030C21"/>
    <w:pPr>
      <w:tabs>
        <w:tab w:val="center" w:pos="4819"/>
        <w:tab w:val="right" w:pos="9638"/>
      </w:tabs>
    </w:pPr>
  </w:style>
  <w:style w:type="character" w:customStyle="1" w:styleId="PidipaginaCarattere">
    <w:name w:val="Piè di pagina Carattere"/>
    <w:basedOn w:val="Carpredefinitoparagrafo"/>
    <w:link w:val="Pidipagina"/>
    <w:uiPriority w:val="99"/>
    <w:rsid w:val="00030C2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21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76E"/>
    <w:rPr>
      <w:rFonts w:ascii="Tahoma" w:eastAsia="Times New Roman" w:hAnsi="Tahoma" w:cs="Tahoma"/>
      <w:sz w:val="16"/>
      <w:szCs w:val="16"/>
      <w:lang w:eastAsia="it-IT"/>
    </w:rPr>
  </w:style>
  <w:style w:type="paragraph" w:customStyle="1" w:styleId="CarattereCarattere3CarattereCarattereCarattereCarattereCarattereCarattere0">
    <w:name w:val="Carattere Carattere3 Carattere Carattere Carattere Carattere Carattere Carattere"/>
    <w:basedOn w:val="Normale"/>
    <w:rsid w:val="00F05D5E"/>
    <w:pPr>
      <w:spacing w:after="160" w:line="240" w:lineRule="exact"/>
    </w:pPr>
    <w:rPr>
      <w:rFonts w:ascii="Tahoma" w:hAnsi="Tahoma" w:cs="Tahoma"/>
      <w:sz w:val="20"/>
      <w:szCs w:val="20"/>
      <w:lang w:val="en-US" w:eastAsia="en-US"/>
    </w:rPr>
  </w:style>
  <w:style w:type="paragraph" w:customStyle="1" w:styleId="CarattereCarattere3CarattereCarattereCarattereCarattereCarattereCarattere1">
    <w:name w:val="Carattere Carattere3 Carattere Carattere Carattere Carattere Carattere Carattere"/>
    <w:basedOn w:val="Normale"/>
    <w:rsid w:val="00E95C1B"/>
    <w:pPr>
      <w:spacing w:after="160" w:line="240" w:lineRule="exact"/>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2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030C2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30C2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30C21"/>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030C21"/>
    <w:rPr>
      <w:rFonts w:ascii="Arial" w:eastAsia="Times New Roman" w:hAnsi="Arial" w:cs="Arial"/>
      <w:b/>
      <w:bCs/>
      <w:sz w:val="26"/>
      <w:szCs w:val="26"/>
      <w:lang w:eastAsia="it-IT"/>
    </w:rPr>
  </w:style>
  <w:style w:type="paragraph" w:styleId="Intestazione">
    <w:name w:val="header"/>
    <w:basedOn w:val="Normale"/>
    <w:link w:val="IntestazioneCarattere"/>
    <w:rsid w:val="00030C21"/>
    <w:pPr>
      <w:tabs>
        <w:tab w:val="center" w:pos="4819"/>
        <w:tab w:val="right" w:pos="9638"/>
      </w:tabs>
    </w:pPr>
  </w:style>
  <w:style w:type="character" w:customStyle="1" w:styleId="IntestazioneCarattere">
    <w:name w:val="Intestazione Carattere"/>
    <w:basedOn w:val="Carpredefinitoparagrafo"/>
    <w:link w:val="Intestazione"/>
    <w:rsid w:val="00030C21"/>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39"/>
    <w:rsid w:val="00030C21"/>
    <w:pPr>
      <w:ind w:left="480"/>
    </w:pPr>
    <w:rPr>
      <w:rFonts w:ascii="DecimaWE Rg" w:hAnsi="DecimaWE Rg"/>
    </w:rPr>
  </w:style>
  <w:style w:type="paragraph" w:customStyle="1" w:styleId="CarattereCarattere3CarattereCarattereCarattereCarattereCarattereCarattere">
    <w:name w:val="Carattere Carattere3 Carattere Carattere Carattere Carattere Carattere Carattere"/>
    <w:basedOn w:val="Normale"/>
    <w:rsid w:val="00030C21"/>
    <w:pPr>
      <w:spacing w:after="160" w:line="240" w:lineRule="exact"/>
    </w:pPr>
    <w:rPr>
      <w:rFonts w:ascii="Tahoma" w:hAnsi="Tahoma" w:cs="Tahoma"/>
      <w:sz w:val="20"/>
      <w:szCs w:val="20"/>
      <w:lang w:val="en-US" w:eastAsia="en-US"/>
    </w:rPr>
  </w:style>
  <w:style w:type="paragraph" w:styleId="Paragrafoelenco">
    <w:name w:val="List Paragraph"/>
    <w:basedOn w:val="Normale"/>
    <w:uiPriority w:val="34"/>
    <w:qFormat/>
    <w:rsid w:val="00030C21"/>
    <w:pPr>
      <w:spacing w:after="200" w:line="276" w:lineRule="auto"/>
      <w:ind w:left="720"/>
      <w:contextualSpacing/>
    </w:pPr>
    <w:rPr>
      <w:rFonts w:ascii="Calibri" w:eastAsia="Calibri" w:hAnsi="Calibri"/>
      <w:sz w:val="22"/>
      <w:szCs w:val="22"/>
      <w:lang w:eastAsia="en-US"/>
    </w:rPr>
  </w:style>
  <w:style w:type="paragraph" w:styleId="Pidipagina">
    <w:name w:val="footer"/>
    <w:basedOn w:val="Normale"/>
    <w:link w:val="PidipaginaCarattere"/>
    <w:uiPriority w:val="99"/>
    <w:unhideWhenUsed/>
    <w:rsid w:val="00030C21"/>
    <w:pPr>
      <w:tabs>
        <w:tab w:val="center" w:pos="4819"/>
        <w:tab w:val="right" w:pos="9638"/>
      </w:tabs>
    </w:pPr>
  </w:style>
  <w:style w:type="character" w:customStyle="1" w:styleId="PidipaginaCarattere">
    <w:name w:val="Piè di pagina Carattere"/>
    <w:basedOn w:val="Carpredefinitoparagrafo"/>
    <w:link w:val="Pidipagina"/>
    <w:uiPriority w:val="99"/>
    <w:rsid w:val="00030C2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21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76E"/>
    <w:rPr>
      <w:rFonts w:ascii="Tahoma" w:eastAsia="Times New Roman" w:hAnsi="Tahoma" w:cs="Tahoma"/>
      <w:sz w:val="16"/>
      <w:szCs w:val="16"/>
      <w:lang w:eastAsia="it-IT"/>
    </w:rPr>
  </w:style>
  <w:style w:type="paragraph" w:customStyle="1" w:styleId="CarattereCarattere3CarattereCarattereCarattereCarattereCarattereCarattere0">
    <w:name w:val="Carattere Carattere3 Carattere Carattere Carattere Carattere Carattere Carattere"/>
    <w:basedOn w:val="Normale"/>
    <w:rsid w:val="00F05D5E"/>
    <w:pPr>
      <w:spacing w:after="160" w:line="240" w:lineRule="exact"/>
    </w:pPr>
    <w:rPr>
      <w:rFonts w:ascii="Tahoma" w:hAnsi="Tahoma" w:cs="Tahoma"/>
      <w:sz w:val="20"/>
      <w:szCs w:val="20"/>
      <w:lang w:val="en-US" w:eastAsia="en-US"/>
    </w:rPr>
  </w:style>
  <w:style w:type="paragraph" w:customStyle="1" w:styleId="CarattereCarattere3CarattereCarattereCarattereCarattereCarattereCarattere1">
    <w:name w:val="Carattere Carattere3 Carattere Carattere Carattere Carattere Carattere Carattere"/>
    <w:basedOn w:val="Normale"/>
    <w:rsid w:val="00E95C1B"/>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35811\Desktop\laura\LAVORI%20VARI%202014\piano%20performance\dati%20per%20rppr%20piano%20performa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35811\Desktop\laura\LAVORI%20VARI%202014\piano%20performance\dati%20per%20rppr%20piano%20performan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35811\Desktop\laura\LAVORI%20VARI%202014\piano%20performance\dati%20per%20rppr%20piano%20performanc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35811\Desktop\laura\LAVORI%20VARI%202014\piano%20performance\dati%20per%20rppr%20piano%20performanc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35811\Desktop\laura\LAVORI%20VARI%202014\piano%20performance\dati%20per%20rppr%20piano%20perform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748172045119507E-2"/>
          <c:y val="3.2407407407407406E-2"/>
          <c:w val="0.32212536322125362"/>
          <c:h val="0.89814814814814814"/>
        </c:manualLayout>
      </c:layout>
      <c:pieChart>
        <c:varyColors val="1"/>
        <c:ser>
          <c:idx val="0"/>
          <c:order val="0"/>
          <c:explosion val="31"/>
          <c:dLbls>
            <c:dLbl>
              <c:idx val="3"/>
              <c:layout>
                <c:manualLayout>
                  <c:x val="-0.10272984298015379"/>
                  <c:y val="8.4490740740740741E-2"/>
                </c:manualLayout>
              </c:layout>
              <c:showLegendKey val="0"/>
              <c:showVal val="0"/>
              <c:showCatName val="0"/>
              <c:showSerName val="0"/>
              <c:showPercent val="1"/>
              <c:showBubbleSize val="0"/>
            </c:dLbl>
            <c:dLbl>
              <c:idx val="5"/>
              <c:layout>
                <c:manualLayout>
                  <c:x val="8.5949488896174348E-2"/>
                  <c:y val="1.4322543683758235E-3"/>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E!$J$2:$J$7</c:f>
              <c:strCache>
                <c:ptCount val="6"/>
                <c:pt idx="0">
                  <c:v>Entrate derivanti da tributi propri della regione e dalle compartecipazioni ai tributi erariali</c:v>
                </c:pt>
                <c:pt idx="1">
                  <c:v>Entrate derivanti da trasferimenti di parte corrente dello stato dell'unione europea e di altri soggetti</c:v>
                </c:pt>
                <c:pt idx="2">
                  <c:v>Entrate extratributarie</c:v>
                </c:pt>
                <c:pt idx="3">
                  <c:v>Entrate derivanti da alienazioni, da trasformazione di capitale, da riscossione di crediti e da trasferimenti in conto capitale</c:v>
                </c:pt>
                <c:pt idx="4">
                  <c:v>Entrate per partite di giro</c:v>
                </c:pt>
                <c:pt idx="5">
                  <c:v>Altro (entrate da mutuo, avanzo applicato)</c:v>
                </c:pt>
              </c:strCache>
            </c:strRef>
          </c:cat>
          <c:val>
            <c:numRef>
              <c:f>E!$I$2:$I$7</c:f>
              <c:numCache>
                <c:formatCode>#,##0.00</c:formatCode>
                <c:ptCount val="6"/>
                <c:pt idx="0">
                  <c:v>5752.7</c:v>
                </c:pt>
                <c:pt idx="1">
                  <c:v>87.36</c:v>
                </c:pt>
                <c:pt idx="2">
                  <c:v>67.67</c:v>
                </c:pt>
                <c:pt idx="3">
                  <c:v>739.83</c:v>
                </c:pt>
                <c:pt idx="4">
                  <c:v>113.62</c:v>
                </c:pt>
                <c:pt idx="5">
                  <c:v>22.29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3343171767289984"/>
          <c:y val="6.6949183435403903E-2"/>
          <c:w val="0.55660564222747388"/>
          <c:h val="0.8661012685914261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Composizione delle entrate tributarie</a:t>
            </a:r>
          </a:p>
        </c:rich>
      </c:tx>
      <c:overlay val="1"/>
    </c:title>
    <c:autoTitleDeleted val="0"/>
    <c:plotArea>
      <c:layout>
        <c:manualLayout>
          <c:layoutTarget val="inner"/>
          <c:xMode val="edge"/>
          <c:yMode val="edge"/>
          <c:x val="0.13288888888888889"/>
          <c:y val="0.19675925925925927"/>
          <c:w val="0.43333333333333335"/>
          <c:h val="0.72222222222222221"/>
        </c:manualLayout>
      </c:layout>
      <c:pieChart>
        <c:varyColors val="1"/>
        <c:ser>
          <c:idx val="0"/>
          <c:order val="0"/>
          <c:dLbls>
            <c:dLbl>
              <c:idx val="0"/>
              <c:layout>
                <c:manualLayout>
                  <c:x val="-1.2000320053522204E-2"/>
                  <c:y val="4.0586764673970772E-2"/>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'E tit.1'!$E$27:$E$28</c:f>
              <c:strCache>
                <c:ptCount val="2"/>
                <c:pt idx="0">
                  <c:v>tributi propri</c:v>
                </c:pt>
                <c:pt idx="1">
                  <c:v>compartecipazioni ai tributi erariali</c:v>
                </c:pt>
              </c:strCache>
            </c:strRef>
          </c:cat>
          <c:val>
            <c:numRef>
              <c:f>'E tit.1'!$D$27:$D$28</c:f>
              <c:numCache>
                <c:formatCode>#,##0.00</c:formatCode>
                <c:ptCount val="2"/>
                <c:pt idx="0" formatCode="#,##0">
                  <c:v>829250000</c:v>
                </c:pt>
                <c:pt idx="1">
                  <c:v>4923451857.1599998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it-I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Composizione dei tributi propri</a:t>
            </a:r>
          </a:p>
        </c:rich>
      </c:tx>
      <c:overlay val="1"/>
    </c:title>
    <c:autoTitleDeleted val="0"/>
    <c:plotArea>
      <c:layout>
        <c:manualLayout>
          <c:layoutTarget val="inner"/>
          <c:xMode val="edge"/>
          <c:yMode val="edge"/>
          <c:x val="0.10554855643044621"/>
          <c:y val="0.2569145982349284"/>
          <c:w val="0.29468655538277005"/>
          <c:h val="0.63433371755757284"/>
        </c:manualLayout>
      </c:layout>
      <c:pieChart>
        <c:varyColors val="1"/>
        <c:ser>
          <c:idx val="0"/>
          <c:order val="0"/>
          <c:dLbls>
            <c:dLbl>
              <c:idx val="2"/>
              <c:layout>
                <c:manualLayout>
                  <c:x val="5.0630577427821524E-2"/>
                  <c:y val="-0.15711759988334792"/>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'E tit.1'!$D$40:$D$44</c:f>
              <c:strCache>
                <c:ptCount val="5"/>
                <c:pt idx="0">
                  <c:v>Contributi sanitari su RC veicoli</c:v>
                </c:pt>
                <c:pt idx="1">
                  <c:v>Irap P.A.</c:v>
                </c:pt>
                <c:pt idx="2">
                  <c:v>Irap soggetti privati</c:v>
                </c:pt>
                <c:pt idx="3">
                  <c:v>Add.le reg.le irpef</c:v>
                </c:pt>
                <c:pt idx="4">
                  <c:v>altro</c:v>
                </c:pt>
              </c:strCache>
            </c:strRef>
          </c:cat>
          <c:val>
            <c:numRef>
              <c:f>'E tit.1'!$C$40:$C$44</c:f>
              <c:numCache>
                <c:formatCode>#,##0</c:formatCode>
                <c:ptCount val="5"/>
                <c:pt idx="0">
                  <c:v>32000000</c:v>
                </c:pt>
                <c:pt idx="1">
                  <c:v>248000000</c:v>
                </c:pt>
                <c:pt idx="2">
                  <c:v>348000000</c:v>
                </c:pt>
                <c:pt idx="3">
                  <c:v>200000000</c:v>
                </c:pt>
                <c:pt idx="4">
                  <c:v>1250000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665288713910766"/>
          <c:y val="0.28511774569845438"/>
          <c:w val="0.38471633500839308"/>
          <c:h val="0.64633744327898879"/>
        </c:manualLayout>
      </c:layout>
      <c:overlay val="0"/>
      <c:txPr>
        <a:bodyPr/>
        <a:lstStyle/>
        <a:p>
          <a:pPr rtl="0">
            <a:defRPr/>
          </a:pPr>
          <a:endParaRPr lang="it-I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t-IT" sz="1200"/>
              <a:t>Composizione delle</a:t>
            </a:r>
            <a:r>
              <a:rPr lang="it-IT" sz="1200" baseline="0"/>
              <a:t> compartcipazioni ai tributi erariali</a:t>
            </a:r>
            <a:endParaRPr lang="it-IT" sz="1200"/>
          </a:p>
        </c:rich>
      </c:tx>
      <c:layout>
        <c:manualLayout>
          <c:xMode val="edge"/>
          <c:yMode val="edge"/>
          <c:x val="0.2230965043412263"/>
          <c:y val="3.3645758231194423E-2"/>
        </c:manualLayout>
      </c:layout>
      <c:overlay val="1"/>
    </c:title>
    <c:autoTitleDeleted val="0"/>
    <c:plotArea>
      <c:layout>
        <c:manualLayout>
          <c:layoutTarget val="inner"/>
          <c:xMode val="edge"/>
          <c:yMode val="edge"/>
          <c:x val="8.762176206551564E-2"/>
          <c:y val="0.20300805946480915"/>
          <c:w val="0.43888888888888888"/>
          <c:h val="0.73148148148148151"/>
        </c:manualLayout>
      </c:layout>
      <c:pieChart>
        <c:varyColors val="1"/>
        <c:ser>
          <c:idx val="0"/>
          <c:order val="0"/>
          <c:dLbls>
            <c:dLbl>
              <c:idx val="0"/>
              <c:layout>
                <c:manualLayout>
                  <c:x val="-9.3082569056342664E-3"/>
                  <c:y val="-3.2289862078135896E-2"/>
                </c:manualLayout>
              </c:layout>
              <c:showLegendKey val="0"/>
              <c:showVal val="0"/>
              <c:showCatName val="0"/>
              <c:showSerName val="0"/>
              <c:showPercent val="1"/>
              <c:showBubbleSize val="0"/>
            </c:dLbl>
            <c:dLbl>
              <c:idx val="10"/>
              <c:layout>
                <c:manualLayout>
                  <c:x val="-8.0835525215377249E-2"/>
                  <c:y val="-6.9739434621505685E-3"/>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'E tit.1'!$A$4:$A$14</c:f>
              <c:strCache>
                <c:ptCount val="11"/>
                <c:pt idx="0">
                  <c:v>Accisa benzina e gasolio</c:v>
                </c:pt>
                <c:pt idx="1">
                  <c:v>Altro</c:v>
                </c:pt>
                <c:pt idx="2">
                  <c:v>Compensazioni e rimborsi in conto fiscale</c:v>
                </c:pt>
                <c:pt idx="3">
                  <c:v>Energia elettrica</c:v>
                </c:pt>
                <c:pt idx="4">
                  <c:v>Imposte sostitutive</c:v>
                </c:pt>
                <c:pt idx="5">
                  <c:v>Ires</c:v>
                </c:pt>
                <c:pt idx="6">
                  <c:v>Irpef</c:v>
                </c:pt>
                <c:pt idx="7">
                  <c:v>Iva</c:v>
                </c:pt>
                <c:pt idx="8">
                  <c:v>Pensioni</c:v>
                </c:pt>
                <c:pt idx="9">
                  <c:v>Ruoli</c:v>
                </c:pt>
                <c:pt idx="10">
                  <c:v>Tabacchi</c:v>
                </c:pt>
              </c:strCache>
            </c:strRef>
          </c:cat>
          <c:val>
            <c:numRef>
              <c:f>'E tit.1'!$B$4:$B$14</c:f>
              <c:numCache>
                <c:formatCode>_(* #,##0.00_);_(* \(#,##0.00\);_(* "-"??_);_(@_)</c:formatCode>
                <c:ptCount val="11"/>
                <c:pt idx="0">
                  <c:v>127.66168257000001</c:v>
                </c:pt>
                <c:pt idx="1">
                  <c:v>3.294</c:v>
                </c:pt>
                <c:pt idx="2">
                  <c:v>846</c:v>
                </c:pt>
                <c:pt idx="3">
                  <c:v>56.908715170000001</c:v>
                </c:pt>
                <c:pt idx="4">
                  <c:v>150.16818185</c:v>
                </c:pt>
                <c:pt idx="5">
                  <c:v>230.40713187999995</c:v>
                </c:pt>
                <c:pt idx="6">
                  <c:v>1581.3025130999999</c:v>
                </c:pt>
                <c:pt idx="7">
                  <c:v>1052.97338461</c:v>
                </c:pt>
                <c:pt idx="8">
                  <c:v>720</c:v>
                </c:pt>
                <c:pt idx="9">
                  <c:v>30</c:v>
                </c:pt>
                <c:pt idx="10">
                  <c:v>124.73624797999999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0562435317774179"/>
          <c:y val="0.24769685039370079"/>
          <c:w val="0.47770901950599504"/>
          <c:h val="0.6712729658792651"/>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Composizione della spesa per finalità</a:t>
            </a:r>
          </a:p>
        </c:rich>
      </c:tx>
      <c:layout>
        <c:manualLayout>
          <c:xMode val="edge"/>
          <c:yMode val="edge"/>
          <c:x val="0.27116237518071595"/>
          <c:y val="2.7779321461891347E-2"/>
        </c:manualLayout>
      </c:layout>
      <c:overlay val="1"/>
    </c:title>
    <c:autoTitleDeleted val="0"/>
    <c:plotArea>
      <c:layout>
        <c:manualLayout>
          <c:layoutTarget val="inner"/>
          <c:xMode val="edge"/>
          <c:yMode val="edge"/>
          <c:x val="3.0555555555555555E-2"/>
          <c:y val="0.24323292843828034"/>
          <c:w val="0.31562140371323461"/>
          <c:h val="0.7544966904843835"/>
        </c:manualLayout>
      </c:layout>
      <c:pieChart>
        <c:varyColors val="1"/>
        <c:ser>
          <c:idx val="0"/>
          <c:order val="0"/>
          <c:dLbls>
            <c:dLbl>
              <c:idx val="10"/>
              <c:layout>
                <c:manualLayout>
                  <c:x val="-7.6612674454708193E-2"/>
                  <c:y val="5.0764337374936568E-2"/>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S!$A$2:$A$13</c:f>
              <c:strCache>
                <c:ptCount val="12"/>
                <c:pt idx="0">
                  <c:v>1 - Attività economiche</c:v>
                </c:pt>
                <c:pt idx="1">
                  <c:v>2 - Tutela dell'ambiente e difesa del territorio</c:v>
                </c:pt>
                <c:pt idx="2">
                  <c:v>3 - Gestione del territorio</c:v>
                </c:pt>
                <c:pt idx="3">
                  <c:v>4 - Infrastrutture, trasporti, telecomunicazioni</c:v>
                </c:pt>
                <c:pt idx="4">
                  <c:v>5 - Attività culturali, ricreative e sportive</c:v>
                </c:pt>
                <c:pt idx="5">
                  <c:v>6 - Istruzione, formazione e ricerca</c:v>
                </c:pt>
                <c:pt idx="6">
                  <c:v>7 - Sanità pubblica</c:v>
                </c:pt>
                <c:pt idx="7">
                  <c:v>8 - Protezione sociale</c:v>
                </c:pt>
                <c:pt idx="8">
                  <c:v>9 - Sussidiarietà e devoluzione</c:v>
                </c:pt>
                <c:pt idx="9">
                  <c:v>10 - Affari istituzionali, economici e fiscali generali</c:v>
                </c:pt>
                <c:pt idx="10">
                  <c:v>11 - Funzionamento della regione</c:v>
                </c:pt>
                <c:pt idx="11">
                  <c:v>12 - Partite di giro</c:v>
                </c:pt>
              </c:strCache>
            </c:strRef>
          </c:cat>
          <c:val>
            <c:numRef>
              <c:f>S!$C$2:$C$13</c:f>
              <c:numCache>
                <c:formatCode>General</c:formatCode>
                <c:ptCount val="12"/>
                <c:pt idx="0">
                  <c:v>159.88</c:v>
                </c:pt>
                <c:pt idx="1">
                  <c:v>14.21</c:v>
                </c:pt>
                <c:pt idx="2">
                  <c:v>243.33</c:v>
                </c:pt>
                <c:pt idx="3">
                  <c:v>55.31</c:v>
                </c:pt>
                <c:pt idx="4">
                  <c:v>89.79</c:v>
                </c:pt>
                <c:pt idx="5">
                  <c:v>97.11</c:v>
                </c:pt>
                <c:pt idx="6" formatCode="#,##0.00">
                  <c:v>2179.98</c:v>
                </c:pt>
                <c:pt idx="7">
                  <c:v>379.98</c:v>
                </c:pt>
                <c:pt idx="8">
                  <c:v>493.62</c:v>
                </c:pt>
                <c:pt idx="9" formatCode="#,##0.00">
                  <c:v>2650.68</c:v>
                </c:pt>
                <c:pt idx="10">
                  <c:v>305.97000000000003</c:v>
                </c:pt>
                <c:pt idx="11">
                  <c:v>113.62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7876047950746786"/>
          <c:y val="0.16983583992874929"/>
          <c:w val="0.50893176186586997"/>
          <c:h val="0.74913894972290718"/>
        </c:manualLayout>
      </c:layout>
      <c:overlay val="0"/>
      <c:txPr>
        <a:bodyPr/>
        <a:lstStyle/>
        <a:p>
          <a:pPr rtl="0">
            <a:defRPr/>
          </a:pPr>
          <a:endParaRPr lang="it-IT"/>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becea3-23a4-4f99-998c-1622ab74fd8a">TYUV27X6JZSX-40-55663</_dlc_DocId>
    <_dlc_DocIdUrl xmlns="cdbecea3-23a4-4f99-998c-1622ab74fd8a">
      <Url>http://spdocs.regione.fvg.it/dc/DCFPP/Home/SPGPR/_layouts/DocIdRedir.aspx?ID=TYUV27X6JZSX-40-55663</Url>
      <Description>TYUV27X6JZSX-40-55663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9CACDF093C84946BB86DC9FD6F9AE5D" ma:contentTypeVersion="1" ma:contentTypeDescription="Creare un nuovo documento." ma:contentTypeScope="" ma:versionID="ff2917416166075de6c27a116bb837cf">
  <xsd:schema xmlns:xsd="http://www.w3.org/2001/XMLSchema" xmlns:xs="http://www.w3.org/2001/XMLSchema" xmlns:p="http://schemas.microsoft.com/office/2006/metadata/properties" xmlns:ns2="cdbecea3-23a4-4f99-998c-1622ab74fd8a" targetNamespace="http://schemas.microsoft.com/office/2006/metadata/properties" ma:root="true" ma:fieldsID="77d0eada9b510c51d218f2bca1013f12" ns2:_="">
    <xsd:import namespace="cdbecea3-23a4-4f99-998c-1622ab74fd8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ecea3-23a4-4f99-998c-1622ab74fd8a"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1136E-0AD1-461C-BCD2-F162C13A7220}">
  <ds:schemaRefs>
    <ds:schemaRef ds:uri="http://schemas.microsoft.com/office/2006/metadata/properties"/>
    <ds:schemaRef ds:uri="http://schemas.microsoft.com/office/infopath/2007/PartnerControls"/>
    <ds:schemaRef ds:uri="cdbecea3-23a4-4f99-998c-1622ab74fd8a"/>
  </ds:schemaRefs>
</ds:datastoreItem>
</file>

<file path=customXml/itemProps2.xml><?xml version="1.0" encoding="utf-8"?>
<ds:datastoreItem xmlns:ds="http://schemas.openxmlformats.org/officeDocument/2006/customXml" ds:itemID="{11B858C4-F2DF-4EFE-B7E9-D3637EC1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ecea3-23a4-4f99-998c-1622ab74f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F434E-020A-4165-A096-CD914800E240}">
  <ds:schemaRefs>
    <ds:schemaRef ds:uri="http://schemas.microsoft.com/sharepoint/events"/>
  </ds:schemaRefs>
</ds:datastoreItem>
</file>

<file path=customXml/itemProps4.xml><?xml version="1.0" encoding="utf-8"?>
<ds:datastoreItem xmlns:ds="http://schemas.openxmlformats.org/officeDocument/2006/customXml" ds:itemID="{6C297E28-8A76-4BA1-9A12-51B99007A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4143</Words>
  <Characters>23619</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27707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Scubogna</dc:creator>
  <cp:lastModifiedBy>TLC</cp:lastModifiedBy>
  <cp:revision>2</cp:revision>
  <cp:lastPrinted>2015-09-22T12:20:00Z</cp:lastPrinted>
  <dcterms:created xsi:type="dcterms:W3CDTF">2015-09-22T12:20:00Z</dcterms:created>
  <dcterms:modified xsi:type="dcterms:W3CDTF">2015-09-22T12:20:00Z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0x01010039CACDF093C84946BB86DC9FD6F9AE5D</vt:lpwstr>
  </property>
  <property fmtid="{D5CDD505-2E9C-101B-9397-08002B2CF9AE}" pid="3" name="_dlc_DocIdItemGuid">
    <vt:lpwstr>e4730e9a-8ffb-4b27-87d4-e3fe652eac35</vt:lpwstr>
  </property>
</Properties>
</file>